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50F0D87C" w:rsidR="00A23599" w:rsidRPr="004C579A" w:rsidRDefault="00676DED" w:rsidP="00A23599">
      <w:pPr>
        <w:pStyle w:val="Header"/>
        <w:tabs>
          <w:tab w:val="right" w:pos="9639"/>
        </w:tabs>
        <w:rPr>
          <w:rFonts w:cs="Arial"/>
          <w:bCs/>
          <w:noProof w:val="0"/>
          <w:color w:val="000000" w:themeColor="text1"/>
          <w:sz w:val="24"/>
          <w:lang w:val="en-GB"/>
        </w:rPr>
      </w:pPr>
      <w:bookmarkStart w:id="0" w:name="OLE_LINK103"/>
      <w:bookmarkStart w:id="1" w:name="OLE_LINK104"/>
      <w:r w:rsidRPr="004C579A">
        <w:rPr>
          <w:rFonts w:eastAsia="新細明體" w:cs="Arial"/>
          <w:noProof w:val="0"/>
          <w:sz w:val="24"/>
          <w:szCs w:val="24"/>
          <w:lang w:eastAsia="ja-JP"/>
        </w:rPr>
        <w:t>3GPP</w:t>
      </w:r>
      <w:r w:rsidR="00F2211F" w:rsidRPr="004C579A">
        <w:rPr>
          <w:rFonts w:eastAsia="新細明體" w:cs="Arial"/>
          <w:noProof w:val="0"/>
          <w:sz w:val="24"/>
          <w:szCs w:val="24"/>
          <w:lang w:eastAsia="ja-JP"/>
        </w:rPr>
        <w:t xml:space="preserve"> </w:t>
      </w:r>
      <w:r w:rsidRPr="004C579A">
        <w:rPr>
          <w:rFonts w:eastAsia="新細明體" w:cs="Arial"/>
          <w:noProof w:val="0"/>
          <w:sz w:val="24"/>
          <w:szCs w:val="24"/>
          <w:lang w:eastAsia="ja-JP"/>
        </w:rPr>
        <w:t>RAN</w:t>
      </w:r>
      <w:r w:rsidR="00411890" w:rsidRPr="004C579A">
        <w:rPr>
          <w:rFonts w:eastAsia="新細明體" w:cs="Arial"/>
          <w:noProof w:val="0"/>
          <w:sz w:val="24"/>
          <w:szCs w:val="24"/>
          <w:lang w:eastAsia="ja-JP"/>
        </w:rPr>
        <w:t>1</w:t>
      </w:r>
      <w:r w:rsidRPr="004C579A">
        <w:rPr>
          <w:rFonts w:eastAsia="新細明體" w:cs="Arial"/>
          <w:noProof w:val="0"/>
          <w:sz w:val="24"/>
          <w:szCs w:val="24"/>
          <w:lang w:eastAsia="ja-JP"/>
        </w:rPr>
        <w:t>#1</w:t>
      </w:r>
      <w:r w:rsidR="008A1C19" w:rsidRPr="004C579A">
        <w:rPr>
          <w:rFonts w:eastAsia="新細明體" w:cs="Arial"/>
          <w:noProof w:val="0"/>
          <w:sz w:val="24"/>
          <w:szCs w:val="24"/>
          <w:lang w:eastAsia="ja-JP"/>
        </w:rPr>
        <w:t>1</w:t>
      </w:r>
      <w:r w:rsidR="00661F99" w:rsidRPr="004C579A">
        <w:rPr>
          <w:rFonts w:eastAsia="新細明體" w:cs="Arial"/>
          <w:noProof w:val="0"/>
          <w:sz w:val="24"/>
          <w:szCs w:val="24"/>
          <w:lang w:eastAsia="ja-JP"/>
        </w:rPr>
        <w:t>3</w:t>
      </w:r>
      <w:r w:rsidR="00161E86" w:rsidRPr="004C579A">
        <w:rPr>
          <w:rFonts w:eastAsia="新細明體" w:cs="Arial"/>
          <w:noProof w:val="0"/>
          <w:sz w:val="24"/>
          <w:szCs w:val="24"/>
          <w:lang w:eastAsia="ja-JP"/>
        </w:rPr>
        <w:t xml:space="preserve">                </w:t>
      </w:r>
      <w:r w:rsidR="00B0627C" w:rsidRPr="004C579A">
        <w:rPr>
          <w:rFonts w:cs="Arial"/>
          <w:bCs/>
          <w:noProof w:val="0"/>
          <w:color w:val="000000" w:themeColor="text1"/>
          <w:sz w:val="24"/>
          <w:lang w:val="en-GB"/>
        </w:rPr>
        <w:tab/>
      </w:r>
      <w:r w:rsidR="00F912E7" w:rsidRPr="004C579A">
        <w:rPr>
          <w:rFonts w:cs="Arial"/>
          <w:sz w:val="24"/>
          <w:szCs w:val="24"/>
        </w:rPr>
        <w:t>R1-2305645</w:t>
      </w:r>
    </w:p>
    <w:p w14:paraId="779AD8A0" w14:textId="7BF77B87" w:rsidR="002D4DA1" w:rsidRPr="004C579A" w:rsidRDefault="003846F0" w:rsidP="00303EDF">
      <w:pPr>
        <w:pStyle w:val="Header"/>
        <w:tabs>
          <w:tab w:val="right" w:pos="9781"/>
          <w:tab w:val="right" w:pos="13323"/>
        </w:tabs>
        <w:outlineLvl w:val="0"/>
        <w:rPr>
          <w:rFonts w:cs="Arial"/>
          <w:b w:val="0"/>
          <w:sz w:val="24"/>
          <w:szCs w:val="24"/>
          <w:lang w:eastAsia="zh-CN"/>
        </w:rPr>
      </w:pPr>
      <w:r w:rsidRPr="004C579A">
        <w:rPr>
          <w:rFonts w:cs="Arial"/>
          <w:sz w:val="24"/>
          <w:szCs w:val="24"/>
        </w:rPr>
        <w:t>Athens</w:t>
      </w:r>
      <w:r w:rsidR="00303EDF" w:rsidRPr="004C579A">
        <w:rPr>
          <w:rFonts w:cs="Arial"/>
          <w:sz w:val="24"/>
          <w:szCs w:val="24"/>
        </w:rPr>
        <w:t xml:space="preserve">, </w:t>
      </w:r>
      <w:r w:rsidR="00661F99" w:rsidRPr="004C579A">
        <w:rPr>
          <w:rFonts w:cs="Arial"/>
          <w:sz w:val="24"/>
          <w:szCs w:val="24"/>
        </w:rPr>
        <w:t>22</w:t>
      </w:r>
      <w:r w:rsidR="00C7249E" w:rsidRPr="004C579A">
        <w:rPr>
          <w:rFonts w:cs="Arial"/>
          <w:sz w:val="24"/>
          <w:szCs w:val="24"/>
          <w:vertAlign w:val="superscript"/>
        </w:rPr>
        <w:t>th</w:t>
      </w:r>
      <w:r w:rsidR="00303EDF" w:rsidRPr="004C579A">
        <w:rPr>
          <w:rFonts w:cs="Arial"/>
          <w:sz w:val="24"/>
          <w:szCs w:val="24"/>
        </w:rPr>
        <w:t xml:space="preserve"> </w:t>
      </w:r>
      <w:r w:rsidR="00FC50DC" w:rsidRPr="004C579A">
        <w:rPr>
          <w:rFonts w:cs="Arial"/>
          <w:sz w:val="24"/>
          <w:szCs w:val="24"/>
        </w:rPr>
        <w:t xml:space="preserve">– </w:t>
      </w:r>
      <w:r w:rsidR="003E6B3F" w:rsidRPr="004C579A">
        <w:rPr>
          <w:rFonts w:cs="Arial"/>
          <w:sz w:val="24"/>
          <w:szCs w:val="24"/>
        </w:rPr>
        <w:t>26</w:t>
      </w:r>
      <w:r w:rsidR="00C7249E" w:rsidRPr="004C579A">
        <w:rPr>
          <w:rFonts w:cs="Arial"/>
          <w:sz w:val="24"/>
          <w:szCs w:val="24"/>
          <w:vertAlign w:val="superscript"/>
        </w:rPr>
        <w:t>th</w:t>
      </w:r>
      <w:r w:rsidR="00C7249E" w:rsidRPr="004C579A">
        <w:rPr>
          <w:rFonts w:cs="Arial"/>
          <w:sz w:val="24"/>
          <w:szCs w:val="24"/>
        </w:rPr>
        <w:t xml:space="preserve"> </w:t>
      </w:r>
      <w:r w:rsidR="00661F99" w:rsidRPr="004C579A">
        <w:rPr>
          <w:rFonts w:cs="Arial"/>
          <w:sz w:val="24"/>
          <w:szCs w:val="24"/>
        </w:rPr>
        <w:t>May</w:t>
      </w:r>
      <w:r w:rsidR="00303EDF" w:rsidRPr="004C579A">
        <w:rPr>
          <w:rFonts w:cs="Arial"/>
          <w:sz w:val="24"/>
          <w:szCs w:val="24"/>
        </w:rPr>
        <w:t>, 202</w:t>
      </w:r>
      <w:r w:rsidR="007B5BB2" w:rsidRPr="004C579A">
        <w:rPr>
          <w:rFonts w:cs="Arial"/>
          <w:sz w:val="24"/>
          <w:szCs w:val="24"/>
        </w:rPr>
        <w:t>3</w:t>
      </w:r>
      <w:r w:rsidR="002D4DA1" w:rsidRPr="004C579A">
        <w:rPr>
          <w:rFonts w:cs="Arial"/>
        </w:rPr>
        <w:t xml:space="preserve">      </w:t>
      </w:r>
    </w:p>
    <w:p w14:paraId="0A75740E" w14:textId="74263534" w:rsidR="00B0627C" w:rsidRPr="004C579A" w:rsidRDefault="00B0627C" w:rsidP="00B0627C">
      <w:pPr>
        <w:pStyle w:val="CRCoverPage"/>
        <w:rPr>
          <w:rFonts w:eastAsia="新細明體" w:cs="Arial"/>
          <w:b/>
          <w:bCs/>
          <w:color w:val="000000" w:themeColor="text1"/>
          <w:sz w:val="24"/>
          <w:lang w:eastAsia="zh-TW"/>
        </w:rPr>
      </w:pPr>
      <w:r w:rsidRPr="004C579A">
        <w:rPr>
          <w:rFonts w:cs="Arial"/>
          <w:b/>
          <w:bCs/>
          <w:color w:val="000000" w:themeColor="text1"/>
          <w:sz w:val="24"/>
        </w:rPr>
        <w:t>Agenda item:</w:t>
      </w:r>
      <w:r w:rsidRPr="004C579A">
        <w:rPr>
          <w:rFonts w:cs="Arial"/>
          <w:b/>
          <w:bCs/>
          <w:color w:val="000000" w:themeColor="text1"/>
          <w:sz w:val="24"/>
        </w:rPr>
        <w:tab/>
      </w:r>
      <w:r w:rsidRPr="004C579A">
        <w:rPr>
          <w:rFonts w:cs="Arial"/>
          <w:b/>
          <w:bCs/>
          <w:color w:val="000000" w:themeColor="text1"/>
          <w:sz w:val="24"/>
        </w:rPr>
        <w:tab/>
      </w:r>
      <w:r w:rsidR="008A1C19" w:rsidRPr="004C579A">
        <w:rPr>
          <w:rFonts w:eastAsiaTheme="minorEastAsia" w:cs="Arial"/>
          <w:b/>
          <w:bCs/>
          <w:color w:val="000000" w:themeColor="text1"/>
          <w:kern w:val="2"/>
          <w:sz w:val="24"/>
          <w:szCs w:val="22"/>
          <w:lang w:val="en-US" w:eastAsia="zh-TW"/>
        </w:rPr>
        <w:t>9.1</w:t>
      </w:r>
      <w:r w:rsidR="003E6B3F" w:rsidRPr="004C579A">
        <w:rPr>
          <w:rFonts w:eastAsiaTheme="minorEastAsia" w:cs="Arial"/>
          <w:b/>
          <w:bCs/>
          <w:color w:val="000000" w:themeColor="text1"/>
          <w:kern w:val="2"/>
          <w:sz w:val="24"/>
          <w:szCs w:val="22"/>
          <w:lang w:val="en-US" w:eastAsia="zh-TW"/>
        </w:rPr>
        <w:t>0</w:t>
      </w:r>
      <w:r w:rsidR="008A1C19" w:rsidRPr="004C579A">
        <w:rPr>
          <w:rFonts w:eastAsiaTheme="minorEastAsia" w:cs="Arial"/>
          <w:b/>
          <w:bCs/>
          <w:color w:val="000000" w:themeColor="text1"/>
          <w:kern w:val="2"/>
          <w:sz w:val="24"/>
          <w:szCs w:val="22"/>
          <w:lang w:val="en-US" w:eastAsia="zh-TW"/>
        </w:rPr>
        <w:t>.2</w:t>
      </w:r>
    </w:p>
    <w:p w14:paraId="56F1EF5D" w14:textId="77777777" w:rsidR="00B0627C" w:rsidRPr="004C579A" w:rsidRDefault="00B0627C" w:rsidP="00B0627C">
      <w:pPr>
        <w:tabs>
          <w:tab w:val="left" w:pos="1985"/>
        </w:tabs>
        <w:ind w:left="1985" w:hanging="1985"/>
        <w:rPr>
          <w:rFonts w:ascii="Arial" w:hAnsi="Arial" w:cs="Arial"/>
          <w:b/>
          <w:bCs/>
          <w:color w:val="000000" w:themeColor="text1"/>
          <w:lang w:eastAsia="zh-TW"/>
        </w:rPr>
      </w:pPr>
      <w:r w:rsidRPr="004C579A">
        <w:rPr>
          <w:rFonts w:ascii="Arial" w:hAnsi="Arial" w:cs="Arial"/>
          <w:b/>
          <w:bCs/>
          <w:color w:val="000000" w:themeColor="text1"/>
        </w:rPr>
        <w:t>Source:</w:t>
      </w:r>
      <w:r w:rsidRPr="004C579A">
        <w:rPr>
          <w:rFonts w:ascii="Arial" w:hAnsi="Arial" w:cs="Arial"/>
          <w:b/>
          <w:bCs/>
          <w:color w:val="000000" w:themeColor="text1"/>
        </w:rPr>
        <w:tab/>
        <w:t xml:space="preserve">MediaTek Inc. </w:t>
      </w:r>
    </w:p>
    <w:p w14:paraId="1A78980E" w14:textId="355E63AC" w:rsidR="00B0627C" w:rsidRPr="004C579A" w:rsidRDefault="00B0627C" w:rsidP="00B0627C">
      <w:pPr>
        <w:ind w:left="1985" w:hanging="1985"/>
        <w:rPr>
          <w:rFonts w:ascii="Arial" w:hAnsi="Arial" w:cs="Arial"/>
          <w:b/>
          <w:bCs/>
          <w:color w:val="000000" w:themeColor="text1"/>
        </w:rPr>
      </w:pPr>
      <w:r w:rsidRPr="004C579A">
        <w:rPr>
          <w:rFonts w:ascii="Arial" w:hAnsi="Arial" w:cs="Arial"/>
          <w:b/>
          <w:bCs/>
          <w:color w:val="000000" w:themeColor="text1"/>
        </w:rPr>
        <w:t>Title:</w:t>
      </w:r>
      <w:r w:rsidRPr="004C579A">
        <w:rPr>
          <w:rFonts w:ascii="Arial" w:hAnsi="Arial" w:cs="Arial"/>
          <w:b/>
          <w:bCs/>
          <w:color w:val="000000" w:themeColor="text1"/>
        </w:rPr>
        <w:tab/>
      </w:r>
      <w:r w:rsidR="008A1C19" w:rsidRPr="004C579A">
        <w:rPr>
          <w:rFonts w:ascii="Arial" w:hAnsi="Arial" w:cs="Arial"/>
          <w:b/>
          <w:bCs/>
          <w:color w:val="000000" w:themeColor="text1"/>
        </w:rPr>
        <w:t xml:space="preserve">UL </w:t>
      </w:r>
      <w:r w:rsidR="00127252" w:rsidRPr="004C579A">
        <w:rPr>
          <w:rFonts w:ascii="Arial" w:hAnsi="Arial" w:cs="Arial"/>
          <w:b/>
          <w:bCs/>
          <w:color w:val="000000" w:themeColor="text1"/>
        </w:rPr>
        <w:t>t</w:t>
      </w:r>
      <w:r w:rsidR="008A1C19" w:rsidRPr="004C579A">
        <w:rPr>
          <w:rFonts w:ascii="Arial" w:hAnsi="Arial" w:cs="Arial"/>
          <w:b/>
          <w:bCs/>
          <w:color w:val="000000" w:themeColor="text1"/>
        </w:rPr>
        <w:t>iming management to reduce handover latency</w:t>
      </w:r>
    </w:p>
    <w:p w14:paraId="1F6E1FB0" w14:textId="14D959F2" w:rsidR="00B0627C" w:rsidRPr="004C579A" w:rsidRDefault="00B0627C" w:rsidP="00B0627C">
      <w:pPr>
        <w:ind w:left="1985" w:hanging="1985"/>
        <w:rPr>
          <w:rFonts w:ascii="Arial" w:hAnsi="Arial" w:cs="Arial"/>
          <w:b/>
          <w:bCs/>
          <w:color w:val="000000" w:themeColor="text1"/>
        </w:rPr>
      </w:pPr>
      <w:r w:rsidRPr="004C579A">
        <w:rPr>
          <w:rFonts w:ascii="Arial" w:hAnsi="Arial" w:cs="Arial"/>
          <w:b/>
          <w:bCs/>
          <w:color w:val="000000" w:themeColor="text1"/>
        </w:rPr>
        <w:t>Document for:</w:t>
      </w:r>
      <w:r w:rsidRPr="004C579A">
        <w:rPr>
          <w:rFonts w:ascii="Arial" w:hAnsi="Arial" w:cs="Arial"/>
          <w:b/>
          <w:bCs/>
          <w:color w:val="000000" w:themeColor="text1"/>
        </w:rPr>
        <w:tab/>
      </w:r>
      <w:r w:rsidRPr="004C579A">
        <w:rPr>
          <w:rFonts w:ascii="Arial" w:hAnsi="Arial" w:cs="Arial"/>
          <w:b/>
          <w:bCs/>
          <w:color w:val="000000" w:themeColor="text1"/>
        </w:rPr>
        <w:tab/>
        <w:t xml:space="preserve">Discussion </w:t>
      </w:r>
    </w:p>
    <w:p w14:paraId="5EC26B2B" w14:textId="2D19E1E7" w:rsidR="00B0627C" w:rsidRPr="004C579A" w:rsidRDefault="00B0627C" w:rsidP="00B0627C">
      <w:pPr>
        <w:pStyle w:val="Heading1"/>
        <w:rPr>
          <w:rFonts w:eastAsia="新細明體" w:cs="Arial"/>
          <w:color w:val="000000" w:themeColor="text1"/>
          <w:lang w:eastAsia="zh-TW"/>
        </w:rPr>
      </w:pPr>
      <w:bookmarkStart w:id="2" w:name="_Ref47278890"/>
      <w:r w:rsidRPr="004C579A">
        <w:rPr>
          <w:rFonts w:cs="Arial"/>
          <w:color w:val="000000" w:themeColor="text1"/>
        </w:rPr>
        <w:t>1</w:t>
      </w:r>
      <w:r w:rsidRPr="004C579A">
        <w:rPr>
          <w:rFonts w:cs="Arial"/>
          <w:color w:val="000000" w:themeColor="text1"/>
        </w:rPr>
        <w:tab/>
        <w:t>Introduction</w:t>
      </w:r>
      <w:bookmarkEnd w:id="2"/>
      <w:r w:rsidRPr="004C579A">
        <w:rPr>
          <w:rFonts w:eastAsia="新細明體" w:cs="Arial"/>
          <w:color w:val="000000" w:themeColor="text1"/>
          <w:lang w:eastAsia="zh-TW"/>
        </w:rPr>
        <w:t xml:space="preserve"> </w:t>
      </w:r>
    </w:p>
    <w:p w14:paraId="67C4C4BC" w14:textId="6ACEF697" w:rsidR="00633208" w:rsidRPr="004C579A" w:rsidRDefault="00D412B4" w:rsidP="00633208">
      <w:pPr>
        <w:tabs>
          <w:tab w:val="num" w:pos="1800"/>
        </w:tabs>
        <w:spacing w:line="256" w:lineRule="auto"/>
        <w:jc w:val="both"/>
        <w:rPr>
          <w:rFonts w:ascii="Arial" w:eastAsia="新細明體" w:hAnsi="Arial" w:cs="Arial"/>
          <w:sz w:val="20"/>
          <w:szCs w:val="20"/>
        </w:rPr>
      </w:pPr>
      <w:bookmarkStart w:id="3" w:name="_Ref32352040"/>
      <w:bookmarkStart w:id="4" w:name="OLE_LINK1"/>
      <w:bookmarkStart w:id="5" w:name="OLE_LINK2"/>
      <w:bookmarkStart w:id="6" w:name="OLE_LINK132"/>
      <w:bookmarkStart w:id="7" w:name="OLE_LINK133"/>
      <w:r w:rsidRPr="004C579A">
        <w:rPr>
          <w:rFonts w:ascii="Arial" w:eastAsia="新細明體" w:hAnsi="Arial" w:cs="Arial"/>
          <w:noProof/>
        </w:rPr>
        <mc:AlternateContent>
          <mc:Choice Requires="wps">
            <w:drawing>
              <wp:anchor distT="0" distB="0" distL="114300" distR="114300" simplePos="0" relativeHeight="251659264" behindDoc="0" locked="0" layoutInCell="1" allowOverlap="1" wp14:anchorId="233A90C0" wp14:editId="20D6DDDE">
                <wp:simplePos x="0" y="0"/>
                <wp:positionH relativeFrom="margin">
                  <wp:align>right</wp:align>
                </wp:positionH>
                <wp:positionV relativeFrom="paragraph">
                  <wp:posOffset>534035</wp:posOffset>
                </wp:positionV>
                <wp:extent cx="4292600" cy="5761990"/>
                <wp:effectExtent l="0" t="0" r="26035" b="24765"/>
                <wp:wrapSquare wrapText="bothSides"/>
                <wp:docPr id="3" name="Text Box 1"/>
                <wp:cNvGraphicFramePr/>
                <a:graphic xmlns:a="http://schemas.openxmlformats.org/drawingml/2006/main">
                  <a:graphicData uri="http://schemas.microsoft.com/office/word/2010/wordprocessingShape">
                    <wps:wsp>
                      <wps:cNvSpPr txBox="1"/>
                      <wps:spPr>
                        <a:xfrm>
                          <a:off x="0" y="0"/>
                          <a:ext cx="4292600" cy="5761990"/>
                        </a:xfrm>
                        <a:prstGeom prst="rect">
                          <a:avLst/>
                        </a:prstGeom>
                        <a:noFill/>
                        <a:ln w="6350">
                          <a:solidFill>
                            <a:prstClr val="black"/>
                          </a:solidFill>
                        </a:ln>
                      </wps:spPr>
                      <wps:txbx>
                        <w:txbxContent>
                          <w:p w14:paraId="35B3A8AB" w14:textId="73A549DB" w:rsidR="00633208" w:rsidRPr="00D412B4" w:rsidRDefault="00633208" w:rsidP="00633208">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17D65077" w14:textId="77777777" w:rsidR="00ED5FFD" w:rsidRPr="00D412B4" w:rsidRDefault="00ED5FFD" w:rsidP="00ED5FFD">
                            <w:pPr>
                              <w:numPr>
                                <w:ilvl w:val="0"/>
                                <w:numId w:val="13"/>
                              </w:numPr>
                              <w:spacing w:line="200" w:lineRule="exact"/>
                              <w:rPr>
                                <w:rFonts w:cstheme="minorHAnsi"/>
                                <w:sz w:val="20"/>
                                <w:szCs w:val="20"/>
                              </w:rPr>
                            </w:pPr>
                            <w:r w:rsidRPr="00D412B4">
                              <w:rPr>
                                <w:rFonts w:cstheme="minorHAnsi"/>
                                <w:sz w:val="20"/>
                                <w:szCs w:val="20"/>
                              </w:rPr>
                              <w:t>For PDCCH ordered-RACH for candidate cell(s), RAR reception can be configured/indicated</w:t>
                            </w:r>
                          </w:p>
                          <w:p w14:paraId="13D9988F"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If reception of RAR is not configured/indicated (without RAR)</w:t>
                            </w:r>
                          </w:p>
                          <w:p w14:paraId="1DBE69B0"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If reception of RAR is configured/indicated (with RAR), FFS</w:t>
                            </w:r>
                          </w:p>
                          <w:p w14:paraId="2CE94035" w14:textId="22566232"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 xml:space="preserve">UE can report the support combination of with RAR only and without RAR only, where support of one default scheme is the baseline UE approach for LTM </w:t>
                            </w:r>
                          </w:p>
                          <w:p w14:paraId="68856709" w14:textId="77777777" w:rsidR="00ED5FFD" w:rsidRPr="00D412B4" w:rsidRDefault="00ED5FFD" w:rsidP="00ED5FFD">
                            <w:pPr>
                              <w:numPr>
                                <w:ilvl w:val="0"/>
                                <w:numId w:val="13"/>
                              </w:numPr>
                              <w:spacing w:line="200" w:lineRule="exact"/>
                              <w:rPr>
                                <w:rFonts w:cstheme="minorHAnsi"/>
                                <w:sz w:val="20"/>
                                <w:szCs w:val="20"/>
                              </w:rPr>
                            </w:pPr>
                            <w:r w:rsidRPr="00D412B4">
                              <w:rPr>
                                <w:rFonts w:cstheme="minorHAnsi"/>
                                <w:sz w:val="20"/>
                                <w:szCs w:val="20"/>
                              </w:rPr>
                              <w:t>For PDCCH-order based PRACH for candidate cell study the following issues:</w:t>
                            </w:r>
                          </w:p>
                          <w:p w14:paraId="60CEBB54"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whether/how prioritizations for transmission power reduction for a PRACH transmission to a LTM candidate cell is performed</w:t>
                            </w:r>
                          </w:p>
                          <w:p w14:paraId="75F57767" w14:textId="590749DB"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whether/how prioritizations for prioritization of a PARCH transmission to a LTM candidate cell compared to an overlapped (in time and frequency) serving cell UL transmission</w:t>
                            </w:r>
                          </w:p>
                          <w:p w14:paraId="470C57D0" w14:textId="77777777" w:rsidR="00D412B4" w:rsidRPr="00D412B4" w:rsidRDefault="00D412B4" w:rsidP="00D412B4">
                            <w:pPr>
                              <w:numPr>
                                <w:ilvl w:val="0"/>
                                <w:numId w:val="13"/>
                              </w:numPr>
                              <w:spacing w:line="200" w:lineRule="exact"/>
                              <w:rPr>
                                <w:rFonts w:cstheme="minorHAnsi"/>
                                <w:sz w:val="20"/>
                                <w:szCs w:val="20"/>
                              </w:rPr>
                            </w:pPr>
                            <w:r w:rsidRPr="00D412B4">
                              <w:rPr>
                                <w:rFonts w:cstheme="minorHAnsi"/>
                                <w:sz w:val="20"/>
                                <w:szCs w:val="20"/>
                              </w:rPr>
                              <w:t>For PDCCH ordered-RACH, if reception of RAR is not configured</w:t>
                            </w:r>
                          </w:p>
                          <w:p w14:paraId="3F91AA38"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Whether power ramping is performed or not is determined from PDCCH order</w:t>
                            </w:r>
                          </w:p>
                          <w:p w14:paraId="523BF026"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If power ramping is performed, </w:t>
                            </w:r>
                          </w:p>
                          <w:p w14:paraId="6078B86C"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whether PRACH is an initial transmission or retransmission is explicitly indicated in PDCCH order (FFS exact indication mechanism)</w:t>
                            </w:r>
                          </w:p>
                          <w:p w14:paraId="1247E02D"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power ramping-up value is configured </w:t>
                            </w:r>
                          </w:p>
                          <w:p w14:paraId="6A6FE920"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else, the power should be determined by open-loop power control</w:t>
                            </w:r>
                          </w:p>
                          <w:p w14:paraId="0FCE8FC7" w14:textId="77777777" w:rsidR="00D412B4" w:rsidRPr="00D412B4" w:rsidRDefault="00D412B4" w:rsidP="00D412B4">
                            <w:pPr>
                              <w:numPr>
                                <w:ilvl w:val="0"/>
                                <w:numId w:val="13"/>
                              </w:numPr>
                              <w:spacing w:line="200" w:lineRule="exact"/>
                              <w:rPr>
                                <w:rFonts w:cstheme="minorHAnsi"/>
                                <w:sz w:val="20"/>
                                <w:szCs w:val="20"/>
                              </w:rPr>
                            </w:pPr>
                            <w:r w:rsidRPr="00D412B4">
                              <w:rPr>
                                <w:rFonts w:cstheme="minorHAnsi"/>
                                <w:sz w:val="20"/>
                                <w:szCs w:val="20"/>
                              </w:rPr>
                              <w:t>If reception of RAR is configured/indicated, RAR contains at least TA of candidate cell.</w:t>
                            </w:r>
                          </w:p>
                          <w:p w14:paraId="026E6CEF"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The maximum number of TA values memorized by UE is a UE capability</w:t>
                            </w:r>
                          </w:p>
                          <w:p w14:paraId="6155C3AC"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FFS: whether other parameters such as UE ID, candidate cell ID etc. is contained in RAR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type w14:anchorId="233A90C0" id="_x0000_t202" coordsize="21600,21600" o:spt="202" path="m,l,21600r21600,l21600,xe">
                <v:stroke joinstyle="miter"/>
                <v:path gradientshapeok="t" o:connecttype="rect"/>
              </v:shapetype>
              <v:shape id="Text Box 1" o:spid="_x0000_s1026" type="#_x0000_t202" style="position:absolute;left:0;text-align:left;margin-left:286.8pt;margin-top:42.05pt;width:338pt;height:453.7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" filled="f" strokeweight=".5pt">
                <v:textbox style="mso-fit-shape-to-text:t">
                  <w:txbxContent>
                    <w:p w14:paraId="35B3A8AB" w14:textId="73A549DB" w:rsidR="00633208" w:rsidRPr="00D412B4" w:rsidRDefault="00633208" w:rsidP="00633208">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17D65077" w14:textId="77777777" w:rsidR="00ED5FFD" w:rsidRPr="00D412B4" w:rsidRDefault="00ED5FFD" w:rsidP="00ED5FFD">
                      <w:pPr>
                        <w:numPr>
                          <w:ilvl w:val="0"/>
                          <w:numId w:val="13"/>
                        </w:numPr>
                        <w:spacing w:line="200" w:lineRule="exact"/>
                        <w:rPr>
                          <w:rFonts w:cstheme="minorHAnsi"/>
                          <w:sz w:val="20"/>
                          <w:szCs w:val="20"/>
                        </w:rPr>
                      </w:pPr>
                      <w:r w:rsidRPr="00D412B4">
                        <w:rPr>
                          <w:rFonts w:cstheme="minorHAnsi"/>
                          <w:sz w:val="20"/>
                          <w:szCs w:val="20"/>
                        </w:rPr>
                        <w:t>For PDCCH ordered-RACH for candidate cell(s), RAR reception can be configured/indicated</w:t>
                      </w:r>
                    </w:p>
                    <w:p w14:paraId="13D9988F"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If reception of RAR is not configured/indicated (without RAR)</w:t>
                      </w:r>
                    </w:p>
                    <w:p w14:paraId="1DBE69B0"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If reception of RAR is configured/indicated (with RAR), FFS</w:t>
                      </w:r>
                    </w:p>
                    <w:p w14:paraId="2CE94035" w14:textId="22566232"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 xml:space="preserve">UE can report the support combination of with RAR only and without RAR only, where support of one default scheme is the baseline UE approach for LTM </w:t>
                      </w:r>
                    </w:p>
                    <w:p w14:paraId="68856709" w14:textId="77777777" w:rsidR="00ED5FFD" w:rsidRPr="00D412B4" w:rsidRDefault="00ED5FFD" w:rsidP="00ED5FFD">
                      <w:pPr>
                        <w:numPr>
                          <w:ilvl w:val="0"/>
                          <w:numId w:val="13"/>
                        </w:numPr>
                        <w:spacing w:line="200" w:lineRule="exact"/>
                        <w:rPr>
                          <w:rFonts w:cstheme="minorHAnsi"/>
                          <w:sz w:val="20"/>
                          <w:szCs w:val="20"/>
                        </w:rPr>
                      </w:pPr>
                      <w:r w:rsidRPr="00D412B4">
                        <w:rPr>
                          <w:rFonts w:cstheme="minorHAnsi"/>
                          <w:sz w:val="20"/>
                          <w:szCs w:val="20"/>
                        </w:rPr>
                        <w:t>For PDCCH-order based PRACH for candidate cell study the following issues:</w:t>
                      </w:r>
                    </w:p>
                    <w:p w14:paraId="60CEBB54" w14:textId="77777777"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whether/how prioritizations for transmission power reduction for a PRACH transmission to a LTM candidate cell is performed</w:t>
                      </w:r>
                    </w:p>
                    <w:p w14:paraId="75F57767" w14:textId="590749DB" w:rsidR="00ED5FFD" w:rsidRPr="00D412B4" w:rsidRDefault="00ED5FFD" w:rsidP="00ED5FFD">
                      <w:pPr>
                        <w:numPr>
                          <w:ilvl w:val="1"/>
                          <w:numId w:val="13"/>
                        </w:numPr>
                        <w:spacing w:line="200" w:lineRule="exact"/>
                        <w:rPr>
                          <w:rFonts w:cstheme="minorHAnsi"/>
                          <w:sz w:val="20"/>
                          <w:szCs w:val="20"/>
                        </w:rPr>
                      </w:pPr>
                      <w:r w:rsidRPr="00D412B4">
                        <w:rPr>
                          <w:rFonts w:cstheme="minorHAnsi"/>
                          <w:sz w:val="20"/>
                          <w:szCs w:val="20"/>
                        </w:rPr>
                        <w:t>whether/how prioritizations for prioritization of a PARCH transmission to a LTM candidate cell compared to an overlapped (in time and frequency) serving cell UL transmission</w:t>
                      </w:r>
                    </w:p>
                    <w:p w14:paraId="470C57D0" w14:textId="77777777" w:rsidR="00D412B4" w:rsidRPr="00D412B4" w:rsidRDefault="00D412B4" w:rsidP="00D412B4">
                      <w:pPr>
                        <w:numPr>
                          <w:ilvl w:val="0"/>
                          <w:numId w:val="13"/>
                        </w:numPr>
                        <w:spacing w:line="200" w:lineRule="exact"/>
                        <w:rPr>
                          <w:rFonts w:cstheme="minorHAnsi"/>
                          <w:sz w:val="20"/>
                          <w:szCs w:val="20"/>
                        </w:rPr>
                      </w:pPr>
                      <w:r w:rsidRPr="00D412B4">
                        <w:rPr>
                          <w:rFonts w:cstheme="minorHAnsi"/>
                          <w:sz w:val="20"/>
                          <w:szCs w:val="20"/>
                        </w:rPr>
                        <w:t>For PDCCH ordered-RACH, if reception of RAR is not configured</w:t>
                      </w:r>
                    </w:p>
                    <w:p w14:paraId="3F91AA38"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Whether power ramping is performed or not is determined from PDCCH order</w:t>
                      </w:r>
                    </w:p>
                    <w:p w14:paraId="523BF026"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If power ramping is performed, </w:t>
                      </w:r>
                    </w:p>
                    <w:p w14:paraId="6078B86C"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whether PRACH is an initial transmission or retransmission is explicitly indicated in PDCCH order (FFS exact indication mechanism)</w:t>
                      </w:r>
                    </w:p>
                    <w:p w14:paraId="1247E02D"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power ramping-up value is configured </w:t>
                      </w:r>
                    </w:p>
                    <w:p w14:paraId="6A6FE920"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else, the power should be determined by open-loop power control</w:t>
                      </w:r>
                    </w:p>
                    <w:p w14:paraId="0FCE8FC7" w14:textId="77777777" w:rsidR="00D412B4" w:rsidRPr="00D412B4" w:rsidRDefault="00D412B4" w:rsidP="00D412B4">
                      <w:pPr>
                        <w:numPr>
                          <w:ilvl w:val="0"/>
                          <w:numId w:val="13"/>
                        </w:numPr>
                        <w:spacing w:line="200" w:lineRule="exact"/>
                        <w:rPr>
                          <w:rFonts w:cstheme="minorHAnsi"/>
                          <w:sz w:val="20"/>
                          <w:szCs w:val="20"/>
                        </w:rPr>
                      </w:pPr>
                      <w:r w:rsidRPr="00D412B4">
                        <w:rPr>
                          <w:rFonts w:cstheme="minorHAnsi"/>
                          <w:sz w:val="20"/>
                          <w:szCs w:val="20"/>
                        </w:rPr>
                        <w:t>If reception of RAR is configured/indicated, RAR contains at least TA of candidate cell.</w:t>
                      </w:r>
                    </w:p>
                    <w:p w14:paraId="026E6CEF"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The maximum number of TA values memorized by UE is a UE capability</w:t>
                      </w:r>
                    </w:p>
                    <w:p w14:paraId="6155C3AC" w14:textId="77777777" w:rsidR="00D412B4" w:rsidRPr="00D412B4" w:rsidRDefault="00D412B4" w:rsidP="00D412B4">
                      <w:pPr>
                        <w:numPr>
                          <w:ilvl w:val="1"/>
                          <w:numId w:val="13"/>
                        </w:numPr>
                        <w:spacing w:line="200" w:lineRule="exact"/>
                        <w:rPr>
                          <w:rFonts w:cstheme="minorHAnsi"/>
                          <w:sz w:val="20"/>
                          <w:szCs w:val="20"/>
                        </w:rPr>
                      </w:pPr>
                      <w:r w:rsidRPr="00D412B4">
                        <w:rPr>
                          <w:rFonts w:cstheme="minorHAnsi"/>
                          <w:sz w:val="20"/>
                          <w:szCs w:val="20"/>
                        </w:rPr>
                        <w:t xml:space="preserve">FFS: whether other parameters such as UE ID, candidate cell ID etc. is contained in RAR </w:t>
                      </w:r>
                    </w:p>
                  </w:txbxContent>
                </v:textbox>
                <w10:wrap type="square" anchorx="margin"/>
              </v:shape>
            </w:pict>
          </mc:Fallback>
        </mc:AlternateContent>
      </w:r>
      <w:r w:rsidR="00633208" w:rsidRPr="004C579A">
        <w:rPr>
          <w:rFonts w:ascii="Arial" w:eastAsia="新細明體" w:hAnsi="Arial" w:cs="Arial"/>
          <w:sz w:val="20"/>
          <w:szCs w:val="20"/>
        </w:rPr>
        <w:t xml:space="preserve">In RAN1 #112 </w:t>
      </w:r>
      <w:r w:rsidR="00633208" w:rsidRPr="004C579A">
        <w:rPr>
          <w:rFonts w:ascii="Arial" w:eastAsia="新細明體" w:hAnsi="Arial" w:cs="Arial"/>
          <w:sz w:val="20"/>
          <w:szCs w:val="20"/>
          <w:lang w:eastAsia="zh-TW"/>
        </w:rPr>
        <w:t>Bis</w:t>
      </w:r>
      <w:r w:rsidR="00633208" w:rsidRPr="004C579A">
        <w:rPr>
          <w:rFonts w:ascii="Arial" w:eastAsia="新細明體" w:hAnsi="Arial" w:cs="Arial"/>
          <w:sz w:val="20"/>
          <w:szCs w:val="20"/>
        </w:rPr>
        <w:t xml:space="preserve"> meeting, </w:t>
      </w:r>
      <w:r w:rsidR="0001222F" w:rsidRPr="004C579A">
        <w:rPr>
          <w:rFonts w:ascii="Arial" w:eastAsia="新細明體" w:hAnsi="Arial" w:cs="Arial"/>
          <w:sz w:val="20"/>
          <w:szCs w:val="20"/>
        </w:rPr>
        <w:t>most of</w:t>
      </w:r>
      <w:r w:rsidR="00633208" w:rsidRPr="004C579A">
        <w:rPr>
          <w:rFonts w:ascii="Arial" w:eastAsia="新細明體" w:hAnsi="Arial" w:cs="Arial"/>
          <w:sz w:val="20"/>
          <w:szCs w:val="20"/>
        </w:rPr>
        <w:t xml:space="preserve"> key agreements regarding Rel-18 mobility enhancement TA management had been achieved</w:t>
      </w:r>
      <w:r w:rsidR="0001222F" w:rsidRPr="004C579A">
        <w:rPr>
          <w:rFonts w:ascii="Arial" w:eastAsia="新細明體" w:hAnsi="Arial" w:cs="Arial"/>
          <w:sz w:val="20"/>
          <w:szCs w:val="20"/>
        </w:rPr>
        <w:t xml:space="preserve"> </w:t>
      </w:r>
      <w:r w:rsidR="00633208" w:rsidRPr="004C579A">
        <w:rPr>
          <w:rFonts w:ascii="Arial" w:eastAsia="新細明體" w:hAnsi="Arial" w:cs="Arial"/>
          <w:sz w:val="20"/>
          <w:szCs w:val="20"/>
        </w:rPr>
        <w:t>[1]</w:t>
      </w:r>
      <w:r w:rsidR="0001222F" w:rsidRPr="004C579A">
        <w:rPr>
          <w:rFonts w:ascii="Arial" w:eastAsia="新細明體" w:hAnsi="Arial" w:cs="Arial"/>
          <w:sz w:val="20"/>
          <w:szCs w:val="20"/>
        </w:rPr>
        <w:t xml:space="preserve">. In this contribution, we discuss remaining issues </w:t>
      </w:r>
      <w:r w:rsidR="00ED5FFD" w:rsidRPr="004C579A">
        <w:rPr>
          <w:rFonts w:ascii="Arial" w:eastAsia="新細明體" w:hAnsi="Arial" w:cs="Arial"/>
          <w:sz w:val="20"/>
          <w:szCs w:val="20"/>
        </w:rPr>
        <w:t>that have not yet been concluded.</w:t>
      </w:r>
    </w:p>
    <w:p w14:paraId="0D259ED3" w14:textId="5F80C9EA" w:rsidR="00633208" w:rsidRPr="004C579A" w:rsidRDefault="00633208" w:rsidP="00D412B4">
      <w:pPr>
        <w:spacing w:line="256" w:lineRule="auto"/>
        <w:ind w:left="1440"/>
        <w:jc w:val="both"/>
        <w:rPr>
          <w:rFonts w:ascii="Arial" w:eastAsia="新細明體" w:hAnsi="Arial" w:cs="Arial"/>
          <w:sz w:val="20"/>
          <w:szCs w:val="20"/>
        </w:rPr>
      </w:pPr>
    </w:p>
    <w:p w14:paraId="774AC949" w14:textId="77777777" w:rsidR="00633208" w:rsidRPr="004C579A" w:rsidRDefault="00633208" w:rsidP="00633208">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新細明體" w:hAnsi="Arial" w:cs="Arial"/>
          <w:color w:val="000000" w:themeColor="text1"/>
          <w:sz w:val="36"/>
          <w:szCs w:val="20"/>
          <w:lang w:val="en-GB" w:eastAsia="zh-TW"/>
        </w:rPr>
      </w:pPr>
      <w:r w:rsidRPr="004C579A">
        <w:rPr>
          <w:rFonts w:ascii="Arial" w:eastAsia="SimSun" w:hAnsi="Arial" w:cs="Arial"/>
          <w:color w:val="000000" w:themeColor="text1"/>
          <w:sz w:val="36"/>
          <w:szCs w:val="20"/>
          <w:lang w:val="en-GB" w:eastAsia="en-US"/>
        </w:rPr>
        <w:lastRenderedPageBreak/>
        <w:t>2</w:t>
      </w:r>
      <w:r w:rsidRPr="004C579A">
        <w:rPr>
          <w:rFonts w:ascii="Arial" w:eastAsia="SimSun" w:hAnsi="Arial" w:cs="Arial"/>
          <w:color w:val="000000" w:themeColor="text1"/>
          <w:sz w:val="36"/>
          <w:szCs w:val="20"/>
          <w:lang w:val="en-GB" w:eastAsia="en-US"/>
        </w:rPr>
        <w:tab/>
      </w:r>
      <w:r w:rsidRPr="004C579A">
        <w:rPr>
          <w:rFonts w:ascii="Arial" w:eastAsia="SimSun" w:hAnsi="Arial" w:cs="Arial"/>
          <w:sz w:val="36"/>
          <w:szCs w:val="20"/>
          <w:lang w:val="en-GB" w:eastAsia="en-US"/>
        </w:rPr>
        <w:t>PDCCH order RACH procedure</w:t>
      </w:r>
    </w:p>
    <w:p w14:paraId="0B18F50B" w14:textId="02DE810D" w:rsidR="00633208" w:rsidRPr="004C579A" w:rsidRDefault="00633208" w:rsidP="00633208">
      <w:pPr>
        <w:spacing w:line="256" w:lineRule="auto"/>
        <w:rPr>
          <w:rFonts w:ascii="Arial" w:eastAsia="新細明體" w:hAnsi="Arial" w:cs="Arial"/>
          <w:sz w:val="20"/>
          <w:szCs w:val="20"/>
        </w:rPr>
      </w:pPr>
      <w:r w:rsidRPr="004C579A">
        <w:rPr>
          <w:rFonts w:ascii="Arial" w:eastAsia="新細明體" w:hAnsi="Arial" w:cs="Arial"/>
          <w:sz w:val="20"/>
          <w:szCs w:val="20"/>
        </w:rPr>
        <w:t xml:space="preserve">According to the previous RAN1 agreement, UE need to acquire TA of the candidate cell(s) in Rel-18 LTM. As shown in </w:t>
      </w:r>
      <w:r w:rsidRPr="004C579A">
        <w:rPr>
          <w:rFonts w:ascii="Arial" w:eastAsia="新細明體" w:hAnsi="Arial" w:cs="Arial"/>
        </w:rPr>
        <w:fldChar w:fldCharType="begin"/>
      </w:r>
      <w:r w:rsidRPr="004C579A">
        <w:rPr>
          <w:rFonts w:ascii="Arial" w:eastAsia="新細明體" w:hAnsi="Arial" w:cs="Arial"/>
          <w:sz w:val="20"/>
          <w:szCs w:val="20"/>
        </w:rPr>
        <w:instrText xml:space="preserve"> REF _Ref118727418 \h </w:instrText>
      </w:r>
      <w:r w:rsidRPr="004C579A">
        <w:rPr>
          <w:rFonts w:ascii="Arial" w:eastAsia="新細明體" w:hAnsi="Arial" w:cs="Arial"/>
        </w:rPr>
      </w:r>
      <w:r w:rsidR="004C579A">
        <w:rPr>
          <w:rFonts w:ascii="Arial" w:eastAsia="新細明體" w:hAnsi="Arial" w:cs="Arial"/>
        </w:rPr>
        <w:instrText xml:space="preserve"> \* MERGEFORMAT </w:instrText>
      </w:r>
      <w:r w:rsidRPr="004C579A">
        <w:rPr>
          <w:rFonts w:ascii="Arial" w:eastAsia="新細明體" w:hAnsi="Arial" w:cs="Arial"/>
        </w:rPr>
        <w:fldChar w:fldCharType="separate"/>
      </w:r>
      <w:r w:rsidR="004C579A" w:rsidRPr="004C579A">
        <w:rPr>
          <w:rFonts w:ascii="Arial" w:eastAsia="SimSun" w:hAnsi="Arial" w:cs="Arial"/>
          <w:b/>
          <w:bCs/>
          <w:sz w:val="20"/>
          <w:szCs w:val="20"/>
        </w:rPr>
        <w:t xml:space="preserve">Figure </w:t>
      </w:r>
      <w:r w:rsidR="004C579A" w:rsidRPr="004C579A">
        <w:rPr>
          <w:rFonts w:ascii="Arial" w:eastAsia="SimSun" w:hAnsi="Arial" w:cs="Arial"/>
          <w:b/>
          <w:bCs/>
          <w:noProof/>
          <w:sz w:val="20"/>
          <w:szCs w:val="20"/>
        </w:rPr>
        <w:t>1</w:t>
      </w:r>
      <w:r w:rsidRPr="004C579A">
        <w:rPr>
          <w:rFonts w:ascii="Arial" w:eastAsia="新細明體" w:hAnsi="Arial" w:cs="Arial"/>
        </w:rPr>
        <w:fldChar w:fldCharType="end"/>
      </w:r>
      <w:r w:rsidRPr="004C579A">
        <w:rPr>
          <w:rFonts w:ascii="Arial" w:eastAsia="新細明體" w:hAnsi="Arial" w:cs="Arial"/>
          <w:sz w:val="20"/>
          <w:szCs w:val="20"/>
        </w:rPr>
        <w:t xml:space="preserve">, UE might switch to the beams of neighboring cell and need to transmit PRACH toward candidate beams of multiple cells before the cell switch command. </w:t>
      </w:r>
    </w:p>
    <w:p w14:paraId="577D512E" w14:textId="77777777" w:rsidR="00633208" w:rsidRPr="004C579A" w:rsidRDefault="00633208" w:rsidP="00633208">
      <w:pPr>
        <w:spacing w:line="256" w:lineRule="auto"/>
        <w:rPr>
          <w:rFonts w:ascii="Arial" w:eastAsia="新細明體" w:hAnsi="Arial" w:cs="Arial"/>
          <w:sz w:val="20"/>
          <w:szCs w:val="20"/>
        </w:rPr>
      </w:pPr>
    </w:p>
    <w:p w14:paraId="7DA035A9" w14:textId="77777777" w:rsidR="00633208" w:rsidRPr="004C579A" w:rsidRDefault="00633208" w:rsidP="00633208">
      <w:pPr>
        <w:spacing w:before="120" w:after="120" w:line="256" w:lineRule="auto"/>
        <w:jc w:val="center"/>
        <w:rPr>
          <w:rFonts w:ascii="Arial" w:eastAsia="新細明體" w:hAnsi="Arial" w:cs="Arial"/>
          <w:sz w:val="20"/>
          <w:szCs w:val="20"/>
        </w:rPr>
      </w:pPr>
      <w:r w:rsidRPr="004C579A">
        <w:rPr>
          <w:rFonts w:ascii="Arial" w:eastAsia="新細明體" w:hAnsi="Arial" w:cs="Arial"/>
          <w:noProof/>
          <w:sz w:val="20"/>
          <w:szCs w:val="20"/>
        </w:rPr>
        <w:drawing>
          <wp:inline distT="0" distB="0" distL="0" distR="0" wp14:anchorId="7A21DCCE" wp14:editId="0020B11E">
            <wp:extent cx="3476625" cy="1800225"/>
            <wp:effectExtent l="0" t="0" r="952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6625" cy="1800225"/>
                    </a:xfrm>
                    <a:prstGeom prst="rect">
                      <a:avLst/>
                    </a:prstGeom>
                    <a:noFill/>
                    <a:ln>
                      <a:noFill/>
                    </a:ln>
                  </pic:spPr>
                </pic:pic>
              </a:graphicData>
            </a:graphic>
          </wp:inline>
        </w:drawing>
      </w:r>
    </w:p>
    <w:p w14:paraId="0637A070" w14:textId="59684185" w:rsidR="00633208" w:rsidRPr="004C579A" w:rsidRDefault="00633208" w:rsidP="00633208">
      <w:pPr>
        <w:spacing w:before="120" w:after="120" w:line="256" w:lineRule="auto"/>
        <w:jc w:val="center"/>
        <w:rPr>
          <w:rFonts w:ascii="Arial" w:eastAsia="SimSun" w:hAnsi="Arial" w:cs="Arial"/>
          <w:b/>
          <w:bCs/>
          <w:sz w:val="20"/>
          <w:szCs w:val="20"/>
        </w:rPr>
      </w:pPr>
      <w:bookmarkStart w:id="8" w:name="_Ref118727418"/>
      <w:r w:rsidRPr="004C579A">
        <w:rPr>
          <w:rFonts w:ascii="Arial" w:eastAsia="SimSun" w:hAnsi="Arial" w:cs="Arial"/>
          <w:b/>
          <w:bCs/>
          <w:sz w:val="20"/>
          <w:szCs w:val="20"/>
        </w:rPr>
        <w:t xml:space="preserve">Figure </w:t>
      </w:r>
      <w:r w:rsidRPr="004C579A">
        <w:rPr>
          <w:rFonts w:ascii="Arial" w:eastAsia="SimSun" w:hAnsi="Arial" w:cs="Arial"/>
          <w:b/>
          <w:sz w:val="20"/>
          <w:szCs w:val="20"/>
        </w:rPr>
        <w:fldChar w:fldCharType="begin"/>
      </w:r>
      <w:r w:rsidRPr="004C579A">
        <w:rPr>
          <w:rFonts w:ascii="Arial" w:eastAsia="SimSun" w:hAnsi="Arial" w:cs="Arial"/>
          <w:b/>
          <w:bCs/>
          <w:sz w:val="20"/>
          <w:szCs w:val="20"/>
        </w:rPr>
        <w:instrText xml:space="preserve"> SEQ Figure \* ARABIC </w:instrText>
      </w:r>
      <w:r w:rsidRPr="004C579A">
        <w:rPr>
          <w:rFonts w:ascii="Arial" w:eastAsia="SimSun" w:hAnsi="Arial" w:cs="Arial"/>
          <w:b/>
          <w:sz w:val="20"/>
          <w:szCs w:val="20"/>
        </w:rPr>
        <w:fldChar w:fldCharType="separate"/>
      </w:r>
      <w:r w:rsidR="004C579A" w:rsidRPr="004C579A">
        <w:rPr>
          <w:rFonts w:ascii="Arial" w:eastAsia="SimSun" w:hAnsi="Arial" w:cs="Arial"/>
          <w:b/>
          <w:bCs/>
          <w:noProof/>
          <w:sz w:val="20"/>
          <w:szCs w:val="20"/>
        </w:rPr>
        <w:t>1</w:t>
      </w:r>
      <w:r w:rsidRPr="004C579A">
        <w:rPr>
          <w:rFonts w:ascii="Arial" w:eastAsia="SimSun" w:hAnsi="Arial" w:cs="Arial"/>
          <w:b/>
          <w:sz w:val="20"/>
          <w:szCs w:val="20"/>
        </w:rPr>
        <w:fldChar w:fldCharType="end"/>
      </w:r>
      <w:bookmarkEnd w:id="8"/>
      <w:r w:rsidRPr="004C579A">
        <w:rPr>
          <w:rFonts w:ascii="Arial" w:eastAsia="SimSun" w:hAnsi="Arial" w:cs="Arial"/>
          <w:b/>
          <w:bCs/>
          <w:sz w:val="20"/>
          <w:szCs w:val="20"/>
        </w:rPr>
        <w:t>: Activate asynchronous TCI states of different cells before the cell switch command</w:t>
      </w:r>
    </w:p>
    <w:p w14:paraId="1F12AEE6" w14:textId="77777777" w:rsidR="00633208" w:rsidRPr="004C579A" w:rsidRDefault="00633208" w:rsidP="00633208">
      <w:pPr>
        <w:spacing w:line="256" w:lineRule="auto"/>
        <w:rPr>
          <w:rFonts w:ascii="Arial" w:eastAsia="新細明體" w:hAnsi="Arial" w:cs="Arial"/>
          <w:sz w:val="20"/>
          <w:szCs w:val="20"/>
        </w:rPr>
      </w:pPr>
    </w:p>
    <w:p w14:paraId="57694784" w14:textId="72AAFD97" w:rsidR="00437C41" w:rsidRPr="004C579A" w:rsidRDefault="00437C41" w:rsidP="00633208">
      <w:pPr>
        <w:spacing w:line="256" w:lineRule="auto"/>
        <w:rPr>
          <w:rFonts w:ascii="Arial" w:eastAsia="新細明體" w:hAnsi="Arial" w:cs="Arial"/>
          <w:sz w:val="20"/>
          <w:szCs w:val="20"/>
        </w:rPr>
      </w:pPr>
      <w:r w:rsidRPr="004C579A">
        <w:rPr>
          <w:rFonts w:ascii="Arial" w:eastAsia="新細明體" w:hAnsi="Arial" w:cs="Arial"/>
          <w:sz w:val="20"/>
          <w:szCs w:val="20"/>
        </w:rPr>
        <w:t>RAN1 had agreed PDCCH ordered-RACH for candidate cells, whether reception of RAR is needed will be configured by</w:t>
      </w:r>
      <w:r w:rsidR="00FF12AF" w:rsidRPr="004C579A">
        <w:rPr>
          <w:rFonts w:ascii="Arial" w:eastAsia="新細明體" w:hAnsi="Arial" w:cs="Arial"/>
          <w:sz w:val="20"/>
          <w:szCs w:val="20"/>
        </w:rPr>
        <w:t xml:space="preserve"> the</w:t>
      </w:r>
      <w:r w:rsidRPr="004C579A">
        <w:rPr>
          <w:rFonts w:ascii="Arial" w:eastAsia="新細明體" w:hAnsi="Arial" w:cs="Arial"/>
          <w:sz w:val="20"/>
          <w:szCs w:val="20"/>
        </w:rPr>
        <w:t xml:space="preserve"> Network. </w:t>
      </w:r>
      <w:r w:rsidR="004C579A" w:rsidRPr="004C579A">
        <w:rPr>
          <w:rFonts w:ascii="Arial" w:eastAsia="新細明體" w:hAnsi="Arial" w:cs="Arial"/>
          <w:sz w:val="20"/>
          <w:szCs w:val="20"/>
        </w:rPr>
        <w:t>Furthermore</w:t>
      </w:r>
      <w:r w:rsidR="00FF12AF" w:rsidRPr="004C579A">
        <w:rPr>
          <w:rFonts w:ascii="Arial" w:eastAsia="新細明體" w:hAnsi="Arial" w:cs="Arial"/>
          <w:sz w:val="20"/>
          <w:szCs w:val="20"/>
        </w:rPr>
        <w:t xml:space="preserve">, </w:t>
      </w:r>
      <w:r w:rsidRPr="004C579A">
        <w:rPr>
          <w:rFonts w:ascii="Arial" w:eastAsia="新細明體" w:hAnsi="Arial" w:cs="Arial"/>
          <w:sz w:val="20"/>
          <w:szCs w:val="20"/>
        </w:rPr>
        <w:t>UE can report the support combination of with RAR only and without RAR only, where support of one default scheme is the baseline UE approach for LTM. However, RAN1 have not reached consensus on the default scheme. Considering that requiring the UE to maintain TA for neighboring cells before camping-on to them has no practical use, we believe that the RAR-less approach is simpler and more intuitive.</w:t>
      </w:r>
      <w:r w:rsidR="00925B82" w:rsidRPr="004C579A">
        <w:rPr>
          <w:rFonts w:ascii="Arial" w:eastAsia="新細明體" w:hAnsi="Arial" w:cs="Arial"/>
          <w:sz w:val="20"/>
          <w:szCs w:val="20"/>
        </w:rPr>
        <w:t xml:space="preserve"> So we suggest that</w:t>
      </w:r>
    </w:p>
    <w:p w14:paraId="57CB0627" w14:textId="1523D530" w:rsidR="00925B82" w:rsidRPr="004C579A" w:rsidRDefault="00925B82" w:rsidP="00925B82">
      <w:pPr>
        <w:pStyle w:val="Caption"/>
        <w:rPr>
          <w:rFonts w:ascii="Arial" w:hAnsi="Arial" w:cs="Arial"/>
          <w:i/>
          <w:sz w:val="22"/>
          <w:szCs w:val="22"/>
        </w:rPr>
      </w:pPr>
      <w:bookmarkStart w:id="9" w:name="_Ref135056565"/>
      <w:r w:rsidRPr="004C579A">
        <w:rPr>
          <w:rFonts w:ascii="Arial" w:hAnsi="Arial" w:cs="Arial"/>
          <w:i/>
          <w:sz w:val="22"/>
          <w:szCs w:val="22"/>
        </w:rPr>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4C579A" w:rsidRPr="004C579A">
        <w:rPr>
          <w:rFonts w:ascii="Arial" w:hAnsi="Arial" w:cs="Arial"/>
          <w:i/>
          <w:noProof/>
          <w:sz w:val="22"/>
          <w:szCs w:val="22"/>
        </w:rPr>
        <w:t>1</w:t>
      </w:r>
      <w:r w:rsidRPr="004C579A">
        <w:rPr>
          <w:rFonts w:ascii="Arial" w:hAnsi="Arial" w:cs="Arial"/>
          <w:i/>
          <w:sz w:val="22"/>
          <w:szCs w:val="22"/>
        </w:rPr>
        <w:fldChar w:fldCharType="end"/>
      </w:r>
      <w:r w:rsidRPr="004C579A">
        <w:rPr>
          <w:rFonts w:ascii="Arial" w:hAnsi="Arial" w:cs="Arial"/>
          <w:i/>
          <w:sz w:val="22"/>
          <w:szCs w:val="22"/>
        </w:rPr>
        <w:t>: Supporting of RAR-less PDCCH ordered RACH procedure is the baseline UE approach for LTM</w:t>
      </w:r>
      <w:bookmarkEnd w:id="9"/>
      <w:r w:rsidRPr="004C579A">
        <w:rPr>
          <w:rFonts w:ascii="Arial" w:hAnsi="Arial" w:cs="Arial"/>
          <w:i/>
          <w:sz w:val="22"/>
          <w:szCs w:val="22"/>
        </w:rPr>
        <w:t xml:space="preserve"> </w:t>
      </w:r>
    </w:p>
    <w:p w14:paraId="5FCD24F9" w14:textId="5C104F14" w:rsidR="00437C41" w:rsidRPr="004C579A" w:rsidRDefault="00437C41" w:rsidP="00633208">
      <w:pPr>
        <w:spacing w:line="256" w:lineRule="auto"/>
        <w:rPr>
          <w:rFonts w:ascii="Arial" w:eastAsia="新細明體" w:hAnsi="Arial" w:cs="Arial"/>
          <w:sz w:val="20"/>
          <w:szCs w:val="20"/>
        </w:rPr>
      </w:pPr>
    </w:p>
    <w:p w14:paraId="511BC453" w14:textId="690C11FB" w:rsidR="00AC0FCE" w:rsidRPr="004C579A" w:rsidRDefault="00AC0FCE" w:rsidP="00AC0FCE">
      <w:pPr>
        <w:spacing w:line="256" w:lineRule="auto"/>
        <w:rPr>
          <w:rFonts w:ascii="Arial" w:eastAsia="新細明體" w:hAnsi="Arial" w:cs="Arial"/>
          <w:sz w:val="20"/>
          <w:szCs w:val="20"/>
        </w:rPr>
      </w:pPr>
      <w:r w:rsidRPr="004C579A">
        <w:rPr>
          <w:rFonts w:ascii="Arial" w:eastAsia="新細明體" w:hAnsi="Arial" w:cs="Arial"/>
          <w:sz w:val="20"/>
          <w:szCs w:val="20"/>
        </w:rPr>
        <w:t xml:space="preserve">If a PARCH transmission to an LTM candidate cell overlaps (in time and frequency) with serving cell UL transmission, performance degradation on the serving cell is expected due to power sharing with the </w:t>
      </w:r>
      <w:r w:rsidR="00FF12AF" w:rsidRPr="004C579A">
        <w:rPr>
          <w:rFonts w:ascii="Arial" w:eastAsia="新細明體" w:hAnsi="Arial" w:cs="Arial"/>
          <w:sz w:val="20"/>
          <w:szCs w:val="20"/>
        </w:rPr>
        <w:t>neighboring</w:t>
      </w:r>
      <w:r w:rsidRPr="004C579A">
        <w:rPr>
          <w:rFonts w:ascii="Arial" w:eastAsia="新細明體" w:hAnsi="Arial" w:cs="Arial"/>
          <w:sz w:val="20"/>
          <w:szCs w:val="20"/>
        </w:rPr>
        <w:t xml:space="preserve"> cell. Because of poor reception signal quality, the base station may not correctly receive data packets from the UE, </w:t>
      </w:r>
      <w:r w:rsidR="00C83718" w:rsidRPr="004C579A">
        <w:rPr>
          <w:rFonts w:ascii="Arial" w:eastAsia="新細明體" w:hAnsi="Arial" w:cs="Arial"/>
          <w:sz w:val="20"/>
          <w:szCs w:val="20"/>
        </w:rPr>
        <w:t xml:space="preserve">including ACK/NACK feedback, </w:t>
      </w:r>
      <w:r w:rsidRPr="004C579A">
        <w:rPr>
          <w:rFonts w:ascii="Arial" w:eastAsia="新細明體" w:hAnsi="Arial" w:cs="Arial"/>
          <w:sz w:val="20"/>
          <w:szCs w:val="20"/>
        </w:rPr>
        <w:t>resulting in an increased packet loss rate and unreliable communication. Therefore, we believe that the uplink transmission of the serving cell should be prioritized. When the uplink transmission of the serving cell and the PRACH transmission of the neighboring cell conflict in tim</w:t>
      </w:r>
      <w:r w:rsidR="00C83718" w:rsidRPr="004C579A">
        <w:rPr>
          <w:rFonts w:ascii="Arial" w:eastAsia="新細明體" w:hAnsi="Arial" w:cs="Arial"/>
          <w:sz w:val="20"/>
          <w:szCs w:val="20"/>
        </w:rPr>
        <w:t>e</w:t>
      </w:r>
      <w:r w:rsidRPr="004C579A">
        <w:rPr>
          <w:rFonts w:ascii="Arial" w:eastAsia="新細明體" w:hAnsi="Arial" w:cs="Arial"/>
          <w:sz w:val="20"/>
          <w:szCs w:val="20"/>
        </w:rPr>
        <w:t>, the UE shall keep the uplink transmission of the serving cell and give up the PRACH transmission to the neighboring cell.</w:t>
      </w:r>
    </w:p>
    <w:p w14:paraId="7ADABB9E" w14:textId="4EBB5038" w:rsidR="00AC0FCE" w:rsidRPr="004C579A" w:rsidRDefault="00C83718" w:rsidP="00C83718">
      <w:pPr>
        <w:pStyle w:val="Caption"/>
        <w:rPr>
          <w:rFonts w:ascii="Arial" w:hAnsi="Arial" w:cs="Arial"/>
          <w:i/>
          <w:sz w:val="22"/>
          <w:szCs w:val="22"/>
        </w:rPr>
      </w:pPr>
      <w:bookmarkStart w:id="10" w:name="_Ref135056567"/>
      <w:r w:rsidRPr="004C579A">
        <w:rPr>
          <w:rFonts w:ascii="Arial" w:hAnsi="Arial" w:cs="Arial"/>
          <w:i/>
          <w:sz w:val="22"/>
          <w:szCs w:val="22"/>
        </w:rPr>
        <w:lastRenderedPageBreak/>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4C579A" w:rsidRPr="004C579A">
        <w:rPr>
          <w:rFonts w:ascii="Arial" w:hAnsi="Arial" w:cs="Arial"/>
          <w:i/>
          <w:noProof/>
          <w:sz w:val="22"/>
          <w:szCs w:val="22"/>
        </w:rPr>
        <w:t>2</w:t>
      </w:r>
      <w:r w:rsidRPr="004C579A">
        <w:rPr>
          <w:rFonts w:ascii="Arial" w:hAnsi="Arial" w:cs="Arial"/>
          <w:i/>
          <w:sz w:val="22"/>
          <w:szCs w:val="22"/>
        </w:rPr>
        <w:fldChar w:fldCharType="end"/>
      </w:r>
      <w:r w:rsidRPr="004C579A">
        <w:rPr>
          <w:rFonts w:ascii="Arial" w:hAnsi="Arial" w:cs="Arial"/>
          <w:i/>
          <w:sz w:val="22"/>
          <w:szCs w:val="22"/>
        </w:rPr>
        <w:t xml:space="preserve">: The serving cell UL transmission and neighboring cell PRACH transmission should not overlap in time. If conflicts occur, the UE should maintain the serving cell UL transmission and </w:t>
      </w:r>
      <w:r w:rsidR="004C579A" w:rsidRPr="004C579A">
        <w:rPr>
          <w:rFonts w:ascii="Arial" w:hAnsi="Arial" w:cs="Arial"/>
          <w:i/>
          <w:sz w:val="22"/>
          <w:szCs w:val="22"/>
        </w:rPr>
        <w:t>cancel</w:t>
      </w:r>
      <w:r w:rsidRPr="004C579A">
        <w:rPr>
          <w:rFonts w:ascii="Arial" w:hAnsi="Arial" w:cs="Arial"/>
          <w:i/>
          <w:sz w:val="22"/>
          <w:szCs w:val="22"/>
        </w:rPr>
        <w:t xml:space="preserve"> the PRACH transmission to neighboring cell</w:t>
      </w:r>
      <w:r w:rsidR="00C90C90" w:rsidRPr="004C579A">
        <w:rPr>
          <w:rFonts w:ascii="Arial" w:hAnsi="Arial" w:cs="Arial"/>
          <w:i/>
          <w:sz w:val="22"/>
          <w:szCs w:val="22"/>
        </w:rPr>
        <w:t>(</w:t>
      </w:r>
      <w:r w:rsidR="004C579A" w:rsidRPr="004C579A">
        <w:rPr>
          <w:rFonts w:ascii="Arial" w:hAnsi="Arial" w:cs="Arial"/>
          <w:i/>
          <w:sz w:val="22"/>
          <w:szCs w:val="22"/>
        </w:rPr>
        <w:t>s)</w:t>
      </w:r>
      <w:bookmarkEnd w:id="10"/>
    </w:p>
    <w:p w14:paraId="75F930D1" w14:textId="77777777" w:rsidR="00C83718" w:rsidRPr="004C579A" w:rsidRDefault="00C83718" w:rsidP="00AC0FCE">
      <w:pPr>
        <w:spacing w:line="256" w:lineRule="auto"/>
        <w:rPr>
          <w:rFonts w:ascii="Arial" w:eastAsia="新細明體" w:hAnsi="Arial" w:cs="Arial"/>
          <w:sz w:val="20"/>
          <w:szCs w:val="20"/>
        </w:rPr>
      </w:pPr>
    </w:p>
    <w:p w14:paraId="4EE7DF71" w14:textId="41FBB796" w:rsidR="00AC0FCE" w:rsidRPr="004C579A" w:rsidRDefault="001F0A5D" w:rsidP="001F0A5D">
      <w:pPr>
        <w:spacing w:line="256" w:lineRule="auto"/>
        <w:rPr>
          <w:rFonts w:ascii="Arial" w:eastAsia="新細明體" w:hAnsi="Arial" w:cs="Arial"/>
          <w:sz w:val="20"/>
          <w:szCs w:val="20"/>
          <w:lang w:eastAsia="zh-TW"/>
        </w:rPr>
      </w:pPr>
      <w:r w:rsidRPr="004C579A">
        <w:rPr>
          <w:rFonts w:ascii="Arial" w:eastAsia="新細明體" w:hAnsi="Arial" w:cs="Arial"/>
          <w:sz w:val="20"/>
          <w:szCs w:val="20"/>
        </w:rPr>
        <w:t xml:space="preserve">RAN1 already agreed that </w:t>
      </w:r>
      <w:r w:rsidRPr="004C579A">
        <w:rPr>
          <w:rFonts w:ascii="Arial" w:eastAsia="新細明體" w:hAnsi="Arial" w:cs="Arial"/>
          <w:sz w:val="20"/>
          <w:szCs w:val="20"/>
          <w:lang w:eastAsia="zh-TW"/>
        </w:rPr>
        <w:t>for</w:t>
      </w:r>
      <w:r w:rsidRPr="004C579A">
        <w:rPr>
          <w:rFonts w:ascii="Arial" w:eastAsia="新細明體" w:hAnsi="Arial" w:cs="Arial"/>
          <w:sz w:val="20"/>
          <w:szCs w:val="20"/>
        </w:rPr>
        <w:t xml:space="preserve"> PDCCH</w:t>
      </w:r>
      <w:r w:rsidR="004C579A" w:rsidRPr="004C579A">
        <w:rPr>
          <w:rFonts w:ascii="Arial" w:eastAsia="新細明體" w:hAnsi="Arial" w:cs="Arial"/>
          <w:sz w:val="20"/>
          <w:szCs w:val="20"/>
        </w:rPr>
        <w:t>-</w:t>
      </w:r>
      <w:r w:rsidRPr="004C579A">
        <w:rPr>
          <w:rFonts w:ascii="Arial" w:eastAsia="新細明體" w:hAnsi="Arial" w:cs="Arial"/>
          <w:sz w:val="20"/>
          <w:szCs w:val="20"/>
        </w:rPr>
        <w:t>ordered</w:t>
      </w:r>
      <w:r w:rsidR="004C579A" w:rsidRPr="004C579A">
        <w:rPr>
          <w:rFonts w:ascii="Arial" w:eastAsia="新細明體" w:hAnsi="Arial" w:cs="Arial"/>
          <w:sz w:val="20"/>
          <w:szCs w:val="20"/>
        </w:rPr>
        <w:t xml:space="preserve"> </w:t>
      </w:r>
      <w:r w:rsidRPr="004C579A">
        <w:rPr>
          <w:rFonts w:ascii="Arial" w:eastAsia="新細明體" w:hAnsi="Arial" w:cs="Arial"/>
          <w:sz w:val="20"/>
          <w:szCs w:val="20"/>
        </w:rPr>
        <w:t>RACH, if reception of RAR is not configured, whether power ramping is performed or not is determined from PDCCH order. Some companies have concerns on no indication in PDCCH order to inform UE whether it is initial transmission or retransmission.</w:t>
      </w:r>
      <w:r w:rsidR="00421C4A" w:rsidRPr="004C579A">
        <w:rPr>
          <w:rFonts w:ascii="Arial" w:eastAsia="新細明體" w:hAnsi="Arial" w:cs="Arial"/>
          <w:sz w:val="20"/>
          <w:szCs w:val="20"/>
        </w:rPr>
        <w:t xml:space="preserve"> However, in legacy systems, even if the UE doesn't know whether the PDCCH order is an initial transmission or a retransmission, it does not cause the PRACH procedure to fail. The UE may consider the first successfully decoded PDCCH order as an initial transmission. If the network indicates a power ramp, the initial transmission may ignore the indication and perform the power ramp the next time it transmits to the same target.</w:t>
      </w:r>
    </w:p>
    <w:p w14:paraId="68E57305" w14:textId="61459416" w:rsidR="00AC0FCE" w:rsidRPr="004C579A" w:rsidRDefault="00421C4A" w:rsidP="00421C4A">
      <w:pPr>
        <w:pStyle w:val="Caption"/>
        <w:rPr>
          <w:rFonts w:ascii="Arial" w:hAnsi="Arial" w:cs="Arial"/>
          <w:i/>
          <w:sz w:val="22"/>
          <w:szCs w:val="22"/>
        </w:rPr>
      </w:pPr>
      <w:bookmarkStart w:id="11" w:name="_Ref135056570"/>
      <w:r w:rsidRPr="004C579A">
        <w:rPr>
          <w:rFonts w:ascii="Arial" w:hAnsi="Arial" w:cs="Arial"/>
          <w:i/>
          <w:sz w:val="22"/>
          <w:szCs w:val="22"/>
        </w:rPr>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4C579A" w:rsidRPr="004C579A">
        <w:rPr>
          <w:rFonts w:ascii="Arial" w:hAnsi="Arial" w:cs="Arial"/>
          <w:i/>
          <w:noProof/>
          <w:sz w:val="22"/>
          <w:szCs w:val="22"/>
        </w:rPr>
        <w:t>3</w:t>
      </w:r>
      <w:r w:rsidRPr="004C579A">
        <w:rPr>
          <w:rFonts w:ascii="Arial" w:hAnsi="Arial" w:cs="Arial"/>
          <w:i/>
          <w:sz w:val="22"/>
          <w:szCs w:val="22"/>
        </w:rPr>
        <w:fldChar w:fldCharType="end"/>
      </w:r>
      <w:r w:rsidRPr="004C579A">
        <w:rPr>
          <w:rFonts w:ascii="Arial" w:hAnsi="Arial" w:cs="Arial"/>
          <w:i/>
          <w:sz w:val="22"/>
          <w:szCs w:val="22"/>
        </w:rPr>
        <w:t>: UE considers the first successfully decoded PDCCH order as an initial transmission. If the network indicates a power ramp, the initial transmission may ignore the indication and perform the power ramp the next time it transmits PRACH to the same target</w:t>
      </w:r>
      <w:bookmarkEnd w:id="11"/>
    </w:p>
    <w:p w14:paraId="02994619" w14:textId="77777777" w:rsidR="00C90C90" w:rsidRPr="004C579A" w:rsidRDefault="00C90C90" w:rsidP="00C90C90">
      <w:pPr>
        <w:spacing w:line="256" w:lineRule="auto"/>
        <w:rPr>
          <w:rFonts w:ascii="Arial" w:eastAsia="新細明體" w:hAnsi="Arial" w:cs="Arial"/>
          <w:sz w:val="20"/>
          <w:szCs w:val="20"/>
        </w:rPr>
      </w:pPr>
      <w:bookmarkStart w:id="12" w:name="_Ref135056572"/>
    </w:p>
    <w:p w14:paraId="03853FB2" w14:textId="3986C751" w:rsidR="00C90C90" w:rsidRPr="004C579A" w:rsidRDefault="00421C4A" w:rsidP="00C90C90">
      <w:pPr>
        <w:spacing w:line="256" w:lineRule="auto"/>
        <w:rPr>
          <w:rFonts w:ascii="Arial" w:eastAsia="新細明體" w:hAnsi="Arial" w:cs="Arial"/>
          <w:sz w:val="20"/>
          <w:szCs w:val="20"/>
        </w:rPr>
      </w:pPr>
      <w:r w:rsidRPr="004C579A">
        <w:rPr>
          <w:rFonts w:ascii="Arial" w:eastAsia="新細明體" w:hAnsi="Arial" w:cs="Arial"/>
          <w:sz w:val="20"/>
          <w:szCs w:val="20"/>
        </w:rPr>
        <w:t xml:space="preserve">We will next discuss the scenario where RAR is configured to be received. In this case, RAN1 has already agreed that at least the TA of the candidate cell should be included in the RAR. Considering that the UE might only be able to receive the candidate cell's RAR from the serving cell, we believe the information of cell identity should also be included. This way, the UE can distinguish which cell the current RAR is sent from. </w:t>
      </w:r>
    </w:p>
    <w:p w14:paraId="4B4A7F70" w14:textId="77777777" w:rsidR="00C90C90" w:rsidRPr="004C579A" w:rsidRDefault="00C90C90" w:rsidP="00C90C90">
      <w:pPr>
        <w:spacing w:line="256" w:lineRule="auto"/>
        <w:rPr>
          <w:rFonts w:ascii="Arial" w:eastAsia="SimSun" w:hAnsi="Arial" w:cs="Arial"/>
          <w:b/>
          <w:i/>
        </w:rPr>
      </w:pPr>
    </w:p>
    <w:p w14:paraId="1FAA4DF1" w14:textId="0C91430C" w:rsidR="00C90C90" w:rsidRPr="004C579A" w:rsidRDefault="00421C4A" w:rsidP="00633208">
      <w:pPr>
        <w:spacing w:line="256" w:lineRule="auto"/>
        <w:rPr>
          <w:rFonts w:ascii="Arial" w:eastAsia="SimSun" w:hAnsi="Arial" w:cs="Arial"/>
          <w:b/>
          <w:i/>
        </w:rPr>
      </w:pPr>
      <w:bookmarkStart w:id="13" w:name="_Ref135056716"/>
      <w:r w:rsidRPr="004C579A">
        <w:rPr>
          <w:rFonts w:ascii="Arial" w:eastAsia="SimSun" w:hAnsi="Arial" w:cs="Arial"/>
          <w:b/>
          <w:i/>
        </w:rPr>
        <w:t xml:space="preserve">Proposal </w:t>
      </w:r>
      <w:r w:rsidRPr="004C579A">
        <w:rPr>
          <w:rFonts w:ascii="Arial" w:eastAsia="新細明體" w:hAnsi="Arial" w:cs="Arial"/>
        </w:rPr>
        <w:fldChar w:fldCharType="begin"/>
      </w:r>
      <w:r w:rsidRPr="004C579A">
        <w:rPr>
          <w:rFonts w:ascii="Arial" w:eastAsia="SimSun" w:hAnsi="Arial" w:cs="Arial"/>
          <w:b/>
          <w:i/>
        </w:rPr>
        <w:instrText xml:space="preserve"> SEQ Proposal \* ARABIC </w:instrText>
      </w:r>
      <w:r w:rsidRPr="004C579A">
        <w:rPr>
          <w:rFonts w:ascii="Arial" w:eastAsia="新細明體" w:hAnsi="Arial" w:cs="Arial"/>
        </w:rPr>
        <w:fldChar w:fldCharType="separate"/>
      </w:r>
      <w:r w:rsidR="004C579A" w:rsidRPr="004C579A">
        <w:rPr>
          <w:rFonts w:ascii="Arial" w:eastAsia="SimSun" w:hAnsi="Arial" w:cs="Arial"/>
          <w:b/>
          <w:i/>
          <w:noProof/>
        </w:rPr>
        <w:t>4</w:t>
      </w:r>
      <w:r w:rsidRPr="004C579A">
        <w:rPr>
          <w:rFonts w:ascii="Arial" w:eastAsia="新細明體" w:hAnsi="Arial" w:cs="Arial"/>
        </w:rPr>
        <w:fldChar w:fldCharType="end"/>
      </w:r>
      <w:r w:rsidRPr="004C579A">
        <w:rPr>
          <w:rFonts w:ascii="Arial" w:eastAsia="SimSun" w:hAnsi="Arial" w:cs="Arial"/>
          <w:b/>
          <w:i/>
        </w:rPr>
        <w:t>: For PDCCH</w:t>
      </w:r>
      <w:r w:rsidR="004C579A" w:rsidRPr="004C579A">
        <w:rPr>
          <w:rFonts w:ascii="Arial" w:eastAsia="SimSun" w:hAnsi="Arial" w:cs="Arial"/>
          <w:b/>
          <w:i/>
        </w:rPr>
        <w:t>-</w:t>
      </w:r>
      <w:r w:rsidRPr="004C579A">
        <w:rPr>
          <w:rFonts w:ascii="Arial" w:eastAsia="SimSun" w:hAnsi="Arial" w:cs="Arial"/>
          <w:b/>
          <w:i/>
        </w:rPr>
        <w:t>ordered</w:t>
      </w:r>
      <w:r w:rsidR="004C579A" w:rsidRPr="004C579A">
        <w:rPr>
          <w:rFonts w:ascii="Arial" w:eastAsia="SimSun" w:hAnsi="Arial" w:cs="Arial"/>
          <w:b/>
          <w:i/>
        </w:rPr>
        <w:t xml:space="preserve"> </w:t>
      </w:r>
      <w:r w:rsidRPr="004C579A">
        <w:rPr>
          <w:rFonts w:ascii="Arial" w:eastAsia="SimSun" w:hAnsi="Arial" w:cs="Arial"/>
          <w:b/>
          <w:i/>
        </w:rPr>
        <w:t>RACH for candidate cell(s), if reception of RAR is configured (with RAR), the content of RAR should include</w:t>
      </w:r>
      <w:bookmarkEnd w:id="12"/>
      <w:r w:rsidR="00C90C90" w:rsidRPr="004C579A">
        <w:rPr>
          <w:rFonts w:ascii="Arial" w:eastAsia="SimSun" w:hAnsi="Arial" w:cs="Arial"/>
          <w:b/>
          <w:i/>
        </w:rPr>
        <w:t xml:space="preserve"> </w:t>
      </w:r>
    </w:p>
    <w:p w14:paraId="5F4416F0" w14:textId="77777777" w:rsidR="00C90C90" w:rsidRPr="004C579A" w:rsidRDefault="00421C4A" w:rsidP="00C90C90">
      <w:pPr>
        <w:pStyle w:val="ListParagraph"/>
        <w:numPr>
          <w:ilvl w:val="0"/>
          <w:numId w:val="23"/>
        </w:numPr>
        <w:spacing w:line="256" w:lineRule="auto"/>
        <w:rPr>
          <w:rFonts w:ascii="Arial" w:eastAsia="SimSun" w:hAnsi="Arial" w:cs="Arial"/>
          <w:b/>
          <w:i/>
        </w:rPr>
      </w:pPr>
      <w:r w:rsidRPr="004C579A">
        <w:rPr>
          <w:rFonts w:ascii="Arial" w:eastAsia="SimSun" w:hAnsi="Arial" w:cs="Arial"/>
          <w:b/>
          <w:i/>
        </w:rPr>
        <w:t xml:space="preserve">TA of candidate cell, </w:t>
      </w:r>
    </w:p>
    <w:p w14:paraId="4C86DA38" w14:textId="48D645E4" w:rsidR="00421C4A" w:rsidRPr="004C579A" w:rsidRDefault="00421C4A" w:rsidP="00C90C90">
      <w:pPr>
        <w:pStyle w:val="ListParagraph"/>
        <w:numPr>
          <w:ilvl w:val="0"/>
          <w:numId w:val="23"/>
        </w:numPr>
        <w:spacing w:line="256" w:lineRule="auto"/>
        <w:rPr>
          <w:rFonts w:ascii="Arial" w:eastAsia="SimSun" w:hAnsi="Arial" w:cs="Arial"/>
          <w:b/>
          <w:i/>
        </w:rPr>
      </w:pPr>
      <w:r w:rsidRPr="004C579A">
        <w:rPr>
          <w:rFonts w:ascii="Arial" w:eastAsia="SimSun" w:hAnsi="Arial" w:cs="Arial"/>
          <w:b/>
          <w:i/>
        </w:rPr>
        <w:t>explicit indication or implicit indication of candidate cell identify (can be cell ID or TCI state ID/index of activated TCI state)</w:t>
      </w:r>
      <w:bookmarkEnd w:id="13"/>
    </w:p>
    <w:p w14:paraId="55EBC67F" w14:textId="77777777" w:rsidR="00C90C90" w:rsidRPr="004C579A" w:rsidRDefault="00C90C90" w:rsidP="00633208">
      <w:pPr>
        <w:spacing w:line="256" w:lineRule="auto"/>
        <w:rPr>
          <w:rFonts w:ascii="Arial" w:eastAsia="SimSun" w:hAnsi="Arial" w:cs="Arial"/>
          <w:b/>
          <w:i/>
        </w:rPr>
      </w:pPr>
    </w:p>
    <w:p w14:paraId="1B6812F5" w14:textId="77777777" w:rsidR="00B46756" w:rsidRPr="004C579A" w:rsidRDefault="00B46756" w:rsidP="00856AF0">
      <w:pPr>
        <w:pStyle w:val="Caption"/>
        <w:rPr>
          <w:rFonts w:ascii="Arial" w:eastAsia="新細明體" w:hAnsi="Arial" w:cs="Arial"/>
          <w:b w:val="0"/>
        </w:rPr>
      </w:pPr>
      <w:r w:rsidRPr="004C579A">
        <w:rPr>
          <w:rFonts w:ascii="Arial" w:eastAsia="新細明體" w:hAnsi="Arial" w:cs="Arial"/>
          <w:b w:val="0"/>
        </w:rPr>
        <w:t>In this case, some companies believe that associating TA/TAG with candidate cell(s) is necessary. However, currently only the PDCCH order RACH procedure is agreed upon, and the UE is not allowed to choose a particular target TCI state or SSB to maintain and represent the TA of a specific TAG. There is no need for the UE to know whether the target TCI states or SSBs belong to the same cell or not, as that information can only be maintained on the network side.</w:t>
      </w:r>
    </w:p>
    <w:p w14:paraId="543372DC" w14:textId="387140E1" w:rsidR="00421C4A" w:rsidRPr="004C579A" w:rsidRDefault="00856AF0" w:rsidP="00856AF0">
      <w:pPr>
        <w:pStyle w:val="Caption"/>
        <w:rPr>
          <w:rFonts w:ascii="Arial" w:hAnsi="Arial" w:cs="Arial"/>
          <w:i/>
          <w:sz w:val="22"/>
          <w:szCs w:val="22"/>
        </w:rPr>
      </w:pPr>
      <w:bookmarkStart w:id="14" w:name="_Ref135056503"/>
      <w:r w:rsidRPr="004C579A">
        <w:rPr>
          <w:rFonts w:ascii="Arial" w:hAnsi="Arial" w:cs="Arial"/>
          <w:i/>
          <w:sz w:val="22"/>
          <w:szCs w:val="22"/>
        </w:rPr>
        <w:lastRenderedPageBreak/>
        <w:t xml:space="preserve">Observation </w:t>
      </w:r>
      <w:r w:rsidRPr="004C579A">
        <w:rPr>
          <w:rFonts w:ascii="Arial" w:hAnsi="Arial" w:cs="Arial"/>
          <w:i/>
          <w:sz w:val="22"/>
          <w:szCs w:val="22"/>
        </w:rPr>
        <w:fldChar w:fldCharType="begin"/>
      </w:r>
      <w:r w:rsidRPr="004C579A">
        <w:rPr>
          <w:rFonts w:ascii="Arial" w:hAnsi="Arial" w:cs="Arial"/>
          <w:i/>
          <w:sz w:val="22"/>
          <w:szCs w:val="22"/>
        </w:rPr>
        <w:instrText xml:space="preserve"> SEQ Observation \* ARABIC </w:instrText>
      </w:r>
      <w:r w:rsidRPr="004C579A">
        <w:rPr>
          <w:rFonts w:ascii="Arial" w:hAnsi="Arial" w:cs="Arial"/>
          <w:i/>
          <w:sz w:val="22"/>
          <w:szCs w:val="22"/>
        </w:rPr>
        <w:fldChar w:fldCharType="separate"/>
      </w:r>
      <w:r w:rsidR="004C579A" w:rsidRPr="004C579A">
        <w:rPr>
          <w:rFonts w:ascii="Arial" w:hAnsi="Arial" w:cs="Arial"/>
          <w:i/>
          <w:noProof/>
          <w:sz w:val="22"/>
          <w:szCs w:val="22"/>
        </w:rPr>
        <w:t>1</w:t>
      </w:r>
      <w:r w:rsidRPr="004C579A">
        <w:rPr>
          <w:rFonts w:ascii="Arial" w:hAnsi="Arial" w:cs="Arial"/>
          <w:i/>
          <w:sz w:val="22"/>
          <w:szCs w:val="22"/>
        </w:rPr>
        <w:fldChar w:fldCharType="end"/>
      </w:r>
      <w:r w:rsidRPr="004C579A">
        <w:rPr>
          <w:rFonts w:ascii="Arial" w:hAnsi="Arial" w:cs="Arial"/>
          <w:i/>
          <w:sz w:val="22"/>
          <w:szCs w:val="22"/>
        </w:rPr>
        <w:t>: Association of existing TAG ID for serving cell and candidate cell is not needed in the configuration for candidate cell(s).</w:t>
      </w:r>
      <w:bookmarkEnd w:id="14"/>
    </w:p>
    <w:p w14:paraId="231C46F2" w14:textId="352DDAC3" w:rsidR="00B46756" w:rsidRPr="004C579A" w:rsidRDefault="00B46756" w:rsidP="00B46756">
      <w:pPr>
        <w:rPr>
          <w:rFonts w:ascii="Arial" w:hAnsi="Arial" w:cs="Arial"/>
          <w:sz w:val="20"/>
          <w:szCs w:val="20"/>
        </w:rPr>
      </w:pPr>
      <w:r w:rsidRPr="004C579A">
        <w:rPr>
          <w:rFonts w:ascii="Arial" w:hAnsi="Arial" w:cs="Arial"/>
          <w:sz w:val="20"/>
          <w:szCs w:val="20"/>
        </w:rPr>
        <w:t xml:space="preserve">For the number of TA(s)/TAG(s) per candidate cell, since in case of CA or mTRP operations up to two TA/TAGs can be supported, the same rules can be applied for LTM. In such cases, for a candidate cell, the UE may be provided configurations to acquire multiple TAs (via multiple or single PDCCH order), but only one of them will be chosen and provided to the UE in the cell switch command. </w:t>
      </w:r>
    </w:p>
    <w:p w14:paraId="1D135EB9" w14:textId="11B63F4C" w:rsidR="00B46756" w:rsidRPr="004C579A" w:rsidRDefault="00C90C90" w:rsidP="00C90C90">
      <w:pPr>
        <w:pStyle w:val="Caption"/>
        <w:rPr>
          <w:rFonts w:ascii="Arial" w:hAnsi="Arial" w:cs="Arial"/>
          <w:i/>
          <w:sz w:val="22"/>
          <w:szCs w:val="22"/>
        </w:rPr>
      </w:pPr>
      <w:bookmarkStart w:id="15" w:name="_Ref135056573"/>
      <w:r w:rsidRPr="004C579A">
        <w:rPr>
          <w:rFonts w:ascii="Arial" w:hAnsi="Arial" w:cs="Arial"/>
          <w:i/>
          <w:sz w:val="22"/>
          <w:szCs w:val="22"/>
        </w:rPr>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4C579A" w:rsidRPr="004C579A">
        <w:rPr>
          <w:rFonts w:ascii="Arial" w:hAnsi="Arial" w:cs="Arial"/>
          <w:i/>
          <w:noProof/>
          <w:sz w:val="22"/>
          <w:szCs w:val="22"/>
        </w:rPr>
        <w:t>5</w:t>
      </w:r>
      <w:r w:rsidRPr="004C579A">
        <w:rPr>
          <w:rFonts w:ascii="Arial" w:hAnsi="Arial" w:cs="Arial"/>
          <w:i/>
          <w:sz w:val="22"/>
          <w:szCs w:val="22"/>
        </w:rPr>
        <w:fldChar w:fldCharType="end"/>
      </w:r>
      <w:r w:rsidRPr="004C579A">
        <w:rPr>
          <w:rFonts w:ascii="Arial" w:hAnsi="Arial" w:cs="Arial"/>
          <w:i/>
          <w:sz w:val="22"/>
          <w:szCs w:val="22"/>
        </w:rPr>
        <w:t>:</w:t>
      </w:r>
      <w:r w:rsidR="00B46756" w:rsidRPr="004C579A">
        <w:rPr>
          <w:rFonts w:ascii="Arial" w:hAnsi="Arial" w:cs="Arial"/>
          <w:i/>
          <w:sz w:val="22"/>
          <w:szCs w:val="22"/>
        </w:rPr>
        <w:t xml:space="preserve"> Up to two TA</w:t>
      </w:r>
      <w:r w:rsidRPr="004C579A">
        <w:rPr>
          <w:rFonts w:ascii="Arial" w:hAnsi="Arial" w:cs="Arial"/>
          <w:i/>
          <w:sz w:val="22"/>
          <w:szCs w:val="22"/>
        </w:rPr>
        <w:t>s</w:t>
      </w:r>
      <w:r w:rsidR="00B46756" w:rsidRPr="004C579A">
        <w:rPr>
          <w:rFonts w:ascii="Arial" w:hAnsi="Arial" w:cs="Arial"/>
          <w:i/>
          <w:sz w:val="22"/>
          <w:szCs w:val="22"/>
        </w:rPr>
        <w:t xml:space="preserve"> can be supported per candidate cell for Rel-18 LTM</w:t>
      </w:r>
      <w:bookmarkEnd w:id="15"/>
    </w:p>
    <w:p w14:paraId="6C49C62F" w14:textId="77777777" w:rsidR="00421C4A" w:rsidRPr="004C579A" w:rsidRDefault="00421C4A" w:rsidP="00633208">
      <w:pPr>
        <w:spacing w:line="256" w:lineRule="auto"/>
        <w:rPr>
          <w:rFonts w:ascii="Arial" w:eastAsia="新細明體" w:hAnsi="Arial" w:cs="Arial"/>
          <w:sz w:val="20"/>
          <w:szCs w:val="20"/>
        </w:rPr>
      </w:pPr>
    </w:p>
    <w:p w14:paraId="3F0DD62E" w14:textId="54367044" w:rsidR="002B026F" w:rsidRPr="004C579A" w:rsidRDefault="002B026F" w:rsidP="002B026F">
      <w:pPr>
        <w:keepNext/>
        <w:keepLines/>
        <w:pBdr>
          <w:top w:val="single" w:sz="12" w:space="3" w:color="auto"/>
        </w:pBdr>
        <w:overflowPunct w:val="0"/>
        <w:autoSpaceDE w:val="0"/>
        <w:autoSpaceDN w:val="0"/>
        <w:adjustRightInd w:val="0"/>
        <w:spacing w:before="240" w:after="180" w:line="240" w:lineRule="auto"/>
        <w:outlineLvl w:val="0"/>
        <w:rPr>
          <w:rFonts w:ascii="Arial" w:eastAsia="SimSun" w:hAnsi="Arial" w:cs="Arial"/>
          <w:color w:val="000000" w:themeColor="text1"/>
          <w:sz w:val="36"/>
          <w:szCs w:val="20"/>
          <w:lang w:eastAsia="en-US"/>
        </w:rPr>
      </w:pPr>
      <w:r w:rsidRPr="004C579A">
        <w:rPr>
          <w:rFonts w:ascii="Arial" w:eastAsia="SimSun" w:hAnsi="Arial" w:cs="Arial"/>
          <w:color w:val="000000" w:themeColor="text1"/>
          <w:sz w:val="36"/>
          <w:szCs w:val="20"/>
          <w:lang w:eastAsia="en-US"/>
        </w:rPr>
        <w:t>3</w:t>
      </w:r>
      <w:r w:rsidRPr="004C579A">
        <w:rPr>
          <w:rFonts w:ascii="Arial" w:eastAsia="SimSun" w:hAnsi="Arial" w:cs="Arial"/>
          <w:color w:val="000000" w:themeColor="text1"/>
          <w:sz w:val="36"/>
          <w:szCs w:val="20"/>
          <w:lang w:val="en-GB" w:eastAsia="en-US"/>
        </w:rPr>
        <w:tab/>
      </w:r>
      <w:r w:rsidRPr="004C579A">
        <w:rPr>
          <w:rFonts w:ascii="Arial" w:eastAsia="新細明體" w:hAnsi="Arial" w:cs="Arial"/>
          <w:color w:val="000000" w:themeColor="text1"/>
          <w:sz w:val="36"/>
          <w:szCs w:val="20"/>
          <w:lang w:val="en-GB" w:eastAsia="zh-TW"/>
        </w:rPr>
        <w:t>UE-based TA m</w:t>
      </w:r>
      <w:r w:rsidR="00F912E7" w:rsidRPr="004C579A">
        <w:rPr>
          <w:rFonts w:ascii="Arial" w:eastAsia="新細明體" w:hAnsi="Arial" w:cs="Arial"/>
          <w:color w:val="000000" w:themeColor="text1"/>
          <w:sz w:val="36"/>
          <w:szCs w:val="20"/>
          <w:lang w:val="en-GB" w:eastAsia="zh-TW"/>
        </w:rPr>
        <w:t>easurement</w:t>
      </w:r>
    </w:p>
    <w:p w14:paraId="5C87C513" w14:textId="1C294576" w:rsidR="00633208" w:rsidRPr="004C579A" w:rsidRDefault="00F912E7" w:rsidP="00633208">
      <w:pPr>
        <w:spacing w:line="256" w:lineRule="auto"/>
        <w:rPr>
          <w:rFonts w:ascii="Arial" w:eastAsia="新細明體" w:hAnsi="Arial" w:cs="Arial"/>
          <w:sz w:val="20"/>
          <w:szCs w:val="20"/>
          <w:lang w:eastAsia="zh-TW"/>
        </w:rPr>
      </w:pPr>
      <w:r w:rsidRPr="004C579A">
        <w:rPr>
          <w:rFonts w:ascii="Arial" w:eastAsia="新細明體" w:hAnsi="Arial" w:cs="Arial"/>
          <w:noProof/>
        </w:rPr>
        <mc:AlternateContent>
          <mc:Choice Requires="wps">
            <w:drawing>
              <wp:anchor distT="0" distB="0" distL="114300" distR="114300" simplePos="0" relativeHeight="251661312" behindDoc="0" locked="0" layoutInCell="1" allowOverlap="1" wp14:anchorId="69E4F44F" wp14:editId="29893C65">
                <wp:simplePos x="0" y="0"/>
                <wp:positionH relativeFrom="margin">
                  <wp:align>left</wp:align>
                </wp:positionH>
                <wp:positionV relativeFrom="paragraph">
                  <wp:posOffset>436245</wp:posOffset>
                </wp:positionV>
                <wp:extent cx="4292600" cy="3177540"/>
                <wp:effectExtent l="0" t="0" r="26035" b="16510"/>
                <wp:wrapSquare wrapText="bothSides"/>
                <wp:docPr id="11" name="Text Box 1"/>
                <wp:cNvGraphicFramePr/>
                <a:graphic xmlns:a="http://schemas.openxmlformats.org/drawingml/2006/main">
                  <a:graphicData uri="http://schemas.microsoft.com/office/word/2010/wordprocessingShape">
                    <wps:wsp>
                      <wps:cNvSpPr txBox="1"/>
                      <wps:spPr>
                        <a:xfrm>
                          <a:off x="0" y="0"/>
                          <a:ext cx="4292600" cy="3177540"/>
                        </a:xfrm>
                        <a:prstGeom prst="rect">
                          <a:avLst/>
                        </a:prstGeom>
                        <a:noFill/>
                        <a:ln w="6350">
                          <a:solidFill>
                            <a:prstClr val="black"/>
                          </a:solidFill>
                        </a:ln>
                      </wps:spPr>
                      <wps:txbx>
                        <w:txbxContent>
                          <w:p w14:paraId="3F2CE8FA" w14:textId="77777777" w:rsidR="00F912E7" w:rsidRPr="00F912E7" w:rsidRDefault="00F912E7" w:rsidP="00F912E7">
                            <w:pPr>
                              <w:rPr>
                                <w:rFonts w:ascii="Times New Roman" w:eastAsia="DengXian" w:hAnsi="Times New Roman"/>
                                <w:sz w:val="20"/>
                                <w:szCs w:val="20"/>
                                <w:highlight w:val="darkYellow"/>
                              </w:rPr>
                            </w:pPr>
                            <w:r w:rsidRPr="00F912E7">
                              <w:rPr>
                                <w:rFonts w:ascii="Times New Roman" w:eastAsia="DengXian" w:hAnsi="Times New Roman"/>
                                <w:sz w:val="20"/>
                                <w:szCs w:val="20"/>
                                <w:highlight w:val="darkYellow"/>
                              </w:rPr>
                              <w:t>Working Assumption</w:t>
                            </w:r>
                          </w:p>
                          <w:p w14:paraId="38F285DA" w14:textId="77777777" w:rsidR="00F912E7" w:rsidRPr="00F912E7" w:rsidRDefault="00F912E7" w:rsidP="00F912E7">
                            <w:pPr>
                              <w:rPr>
                                <w:rFonts w:ascii="Times New Roman" w:eastAsia="DengXian" w:hAnsi="Times New Roman"/>
                                <w:sz w:val="20"/>
                                <w:szCs w:val="20"/>
                              </w:rPr>
                            </w:pPr>
                            <w:r w:rsidRPr="00F912E7">
                              <w:rPr>
                                <w:rFonts w:ascii="Times New Roman" w:eastAsia="DengXian" w:hAnsi="Times New Roman" w:hint="eastAsia"/>
                                <w:sz w:val="20"/>
                                <w:szCs w:val="20"/>
                              </w:rPr>
                              <w:t>UE-based TA measurement</w:t>
                            </w:r>
                            <w:r w:rsidRPr="00F912E7">
                              <w:rPr>
                                <w:rFonts w:ascii="Times New Roman" w:eastAsia="DengXian" w:hAnsi="Times New Roman"/>
                                <w:sz w:val="20"/>
                                <w:szCs w:val="20"/>
                              </w:rPr>
                              <w:t xml:space="preserve"> </w:t>
                            </w:r>
                            <w:r w:rsidRPr="00F912E7">
                              <w:rPr>
                                <w:rFonts w:ascii="Times New Roman" w:eastAsia="DengXian" w:hAnsi="Times New Roman" w:hint="eastAsia"/>
                                <w:sz w:val="20"/>
                                <w:szCs w:val="20"/>
                              </w:rPr>
                              <w:t xml:space="preserve">(UE derives TA based on Rx timing difference between current serving cell and candidate cell as well as TA </w:t>
                            </w:r>
                            <w:r w:rsidRPr="00F912E7">
                              <w:rPr>
                                <w:rFonts w:ascii="Times New Roman" w:eastAsia="DengXian" w:hAnsi="Times New Roman"/>
                                <w:sz w:val="20"/>
                                <w:szCs w:val="20"/>
                              </w:rPr>
                              <w:t>value</w:t>
                            </w:r>
                            <w:r w:rsidRPr="00F912E7">
                              <w:rPr>
                                <w:rFonts w:ascii="Times New Roman" w:eastAsia="DengXian" w:hAnsi="Times New Roman" w:hint="eastAsia"/>
                                <w:sz w:val="20"/>
                                <w:szCs w:val="20"/>
                              </w:rPr>
                              <w:t xml:space="preserve"> for the current serving cell) is supported. </w:t>
                            </w:r>
                          </w:p>
                          <w:p w14:paraId="4B05DD87"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C</w:t>
                            </w:r>
                            <w:r w:rsidRPr="00F912E7">
                              <w:rPr>
                                <w:rFonts w:ascii="Times New Roman" w:eastAsia="DengXian" w:hAnsi="Times New Roman" w:hint="eastAsia"/>
                                <w:sz w:val="20"/>
                                <w:szCs w:val="20"/>
                              </w:rPr>
                              <w:t>orresponding UE capability is to be introduced to support UE-based TA measurement</w:t>
                            </w:r>
                          </w:p>
                          <w:p w14:paraId="3B105C02"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F</w:t>
                            </w:r>
                            <w:r w:rsidRPr="00F912E7">
                              <w:rPr>
                                <w:rFonts w:ascii="Times New Roman" w:eastAsia="DengXian" w:hAnsi="Times New Roman" w:hint="eastAsia"/>
                                <w:sz w:val="20"/>
                                <w:szCs w:val="20"/>
                              </w:rPr>
                              <w:t xml:space="preserve">or a UE reports support of this capability, configuration of UE-based TA measurement is </w:t>
                            </w:r>
                            <w:r w:rsidRPr="00F912E7">
                              <w:rPr>
                                <w:rFonts w:ascii="Times New Roman" w:eastAsia="DengXian" w:hAnsi="Times New Roman"/>
                                <w:sz w:val="20"/>
                                <w:szCs w:val="20"/>
                              </w:rPr>
                              <w:t>supported</w:t>
                            </w:r>
                          </w:p>
                          <w:p w14:paraId="7DA69C01"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FFS</w:t>
                            </w:r>
                            <w:r w:rsidRPr="00F912E7">
                              <w:rPr>
                                <w:rFonts w:ascii="Times New Roman" w:eastAsia="DengXian" w:hAnsi="Times New Roman" w:hint="eastAsia"/>
                                <w:sz w:val="20"/>
                                <w:szCs w:val="20"/>
                              </w:rPr>
                              <w:t xml:space="preserve">: other </w:t>
                            </w:r>
                            <w:r w:rsidRPr="00F912E7">
                              <w:rPr>
                                <w:rFonts w:ascii="Times New Roman" w:eastAsia="DengXian" w:hAnsi="Times New Roman"/>
                                <w:sz w:val="20"/>
                                <w:szCs w:val="20"/>
                              </w:rPr>
                              <w:t xml:space="preserve">impacts on </w:t>
                            </w:r>
                            <w:r w:rsidRPr="00F912E7">
                              <w:rPr>
                                <w:rFonts w:ascii="Times New Roman" w:eastAsia="DengXian" w:hAnsi="Times New Roman" w:hint="eastAsia"/>
                                <w:sz w:val="20"/>
                                <w:szCs w:val="20"/>
                              </w:rPr>
                              <w:t>RAN1 spec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w14:anchorId="69E4F44F" id="_x0000_s1027" type="#_x0000_t202" style="position:absolute;margin-left:0;margin-top:34.35pt;width:338pt;height:250.2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" filled="f" strokeweight=".5pt">
                <v:textbox style="mso-fit-shape-to-text:t">
                  <w:txbxContent>
                    <w:p w14:paraId="3F2CE8FA" w14:textId="77777777" w:rsidR="00F912E7" w:rsidRPr="00F912E7" w:rsidRDefault="00F912E7" w:rsidP="00F912E7">
                      <w:pPr>
                        <w:rPr>
                          <w:rFonts w:ascii="Times New Roman" w:eastAsia="DengXian" w:hAnsi="Times New Roman"/>
                          <w:sz w:val="20"/>
                          <w:szCs w:val="20"/>
                          <w:highlight w:val="darkYellow"/>
                        </w:rPr>
                      </w:pPr>
                      <w:r w:rsidRPr="00F912E7">
                        <w:rPr>
                          <w:rFonts w:ascii="Times New Roman" w:eastAsia="DengXian" w:hAnsi="Times New Roman"/>
                          <w:sz w:val="20"/>
                          <w:szCs w:val="20"/>
                          <w:highlight w:val="darkYellow"/>
                        </w:rPr>
                        <w:t>Working Assumption</w:t>
                      </w:r>
                    </w:p>
                    <w:p w14:paraId="38F285DA" w14:textId="77777777" w:rsidR="00F912E7" w:rsidRPr="00F912E7" w:rsidRDefault="00F912E7" w:rsidP="00F912E7">
                      <w:pPr>
                        <w:rPr>
                          <w:rFonts w:ascii="Times New Roman" w:eastAsia="DengXian" w:hAnsi="Times New Roman"/>
                          <w:sz w:val="20"/>
                          <w:szCs w:val="20"/>
                        </w:rPr>
                      </w:pPr>
                      <w:r w:rsidRPr="00F912E7">
                        <w:rPr>
                          <w:rFonts w:ascii="Times New Roman" w:eastAsia="DengXian" w:hAnsi="Times New Roman" w:hint="eastAsia"/>
                          <w:sz w:val="20"/>
                          <w:szCs w:val="20"/>
                        </w:rPr>
                        <w:t>UE-based TA measurement</w:t>
                      </w:r>
                      <w:r w:rsidRPr="00F912E7">
                        <w:rPr>
                          <w:rFonts w:ascii="Times New Roman" w:eastAsia="DengXian" w:hAnsi="Times New Roman"/>
                          <w:sz w:val="20"/>
                          <w:szCs w:val="20"/>
                        </w:rPr>
                        <w:t xml:space="preserve"> </w:t>
                      </w:r>
                      <w:r w:rsidRPr="00F912E7">
                        <w:rPr>
                          <w:rFonts w:ascii="Times New Roman" w:eastAsia="DengXian" w:hAnsi="Times New Roman" w:hint="eastAsia"/>
                          <w:sz w:val="20"/>
                          <w:szCs w:val="20"/>
                        </w:rPr>
                        <w:t xml:space="preserve">(UE derives TA based on Rx timing difference between current serving cell and candidate cell as well as TA </w:t>
                      </w:r>
                      <w:r w:rsidRPr="00F912E7">
                        <w:rPr>
                          <w:rFonts w:ascii="Times New Roman" w:eastAsia="DengXian" w:hAnsi="Times New Roman"/>
                          <w:sz w:val="20"/>
                          <w:szCs w:val="20"/>
                        </w:rPr>
                        <w:t>value</w:t>
                      </w:r>
                      <w:r w:rsidRPr="00F912E7">
                        <w:rPr>
                          <w:rFonts w:ascii="Times New Roman" w:eastAsia="DengXian" w:hAnsi="Times New Roman" w:hint="eastAsia"/>
                          <w:sz w:val="20"/>
                          <w:szCs w:val="20"/>
                        </w:rPr>
                        <w:t xml:space="preserve"> for the current serving cell) is supported. </w:t>
                      </w:r>
                    </w:p>
                    <w:p w14:paraId="4B05DD87"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C</w:t>
                      </w:r>
                      <w:r w:rsidRPr="00F912E7">
                        <w:rPr>
                          <w:rFonts w:ascii="Times New Roman" w:eastAsia="DengXian" w:hAnsi="Times New Roman" w:hint="eastAsia"/>
                          <w:sz w:val="20"/>
                          <w:szCs w:val="20"/>
                        </w:rPr>
                        <w:t>orresponding UE capability is to be introduced to support UE-based TA measurement</w:t>
                      </w:r>
                    </w:p>
                    <w:p w14:paraId="3B105C02"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F</w:t>
                      </w:r>
                      <w:r w:rsidRPr="00F912E7">
                        <w:rPr>
                          <w:rFonts w:ascii="Times New Roman" w:eastAsia="DengXian" w:hAnsi="Times New Roman" w:hint="eastAsia"/>
                          <w:sz w:val="20"/>
                          <w:szCs w:val="20"/>
                        </w:rPr>
                        <w:t xml:space="preserve">or a UE reports support of this capability, configuration of UE-based TA measurement is </w:t>
                      </w:r>
                      <w:r w:rsidRPr="00F912E7">
                        <w:rPr>
                          <w:rFonts w:ascii="Times New Roman" w:eastAsia="DengXian" w:hAnsi="Times New Roman"/>
                          <w:sz w:val="20"/>
                          <w:szCs w:val="20"/>
                        </w:rPr>
                        <w:t>supported</w:t>
                      </w:r>
                    </w:p>
                    <w:p w14:paraId="7DA69C01" w14:textId="77777777" w:rsidR="00F912E7" w:rsidRPr="00F912E7" w:rsidRDefault="00F912E7" w:rsidP="00F912E7">
                      <w:pPr>
                        <w:pStyle w:val="ListParagraph"/>
                        <w:numPr>
                          <w:ilvl w:val="0"/>
                          <w:numId w:val="8"/>
                        </w:numPr>
                        <w:snapToGrid w:val="0"/>
                        <w:spacing w:line="256" w:lineRule="auto"/>
                        <w:ind w:left="360"/>
                        <w:contextualSpacing/>
                        <w:rPr>
                          <w:rFonts w:eastAsia="DengXian"/>
                          <w:sz w:val="20"/>
                          <w:szCs w:val="20"/>
                        </w:rPr>
                      </w:pPr>
                      <w:r w:rsidRPr="00F912E7">
                        <w:rPr>
                          <w:rFonts w:ascii="Times New Roman" w:eastAsia="DengXian" w:hAnsi="Times New Roman"/>
                          <w:sz w:val="20"/>
                          <w:szCs w:val="20"/>
                        </w:rPr>
                        <w:t>FFS</w:t>
                      </w:r>
                      <w:r w:rsidRPr="00F912E7">
                        <w:rPr>
                          <w:rFonts w:ascii="Times New Roman" w:eastAsia="DengXian" w:hAnsi="Times New Roman" w:hint="eastAsia"/>
                          <w:sz w:val="20"/>
                          <w:szCs w:val="20"/>
                        </w:rPr>
                        <w:t xml:space="preserve">: other </w:t>
                      </w:r>
                      <w:r w:rsidRPr="00F912E7">
                        <w:rPr>
                          <w:rFonts w:ascii="Times New Roman" w:eastAsia="DengXian" w:hAnsi="Times New Roman"/>
                          <w:sz w:val="20"/>
                          <w:szCs w:val="20"/>
                        </w:rPr>
                        <w:t xml:space="preserve">impacts on </w:t>
                      </w:r>
                      <w:r w:rsidRPr="00F912E7">
                        <w:rPr>
                          <w:rFonts w:ascii="Times New Roman" w:eastAsia="DengXian" w:hAnsi="Times New Roman" w:hint="eastAsia"/>
                          <w:sz w:val="20"/>
                          <w:szCs w:val="20"/>
                        </w:rPr>
                        <w:t>RAN1 spec</w:t>
                      </w:r>
                    </w:p>
                  </w:txbxContent>
                </v:textbox>
                <w10:wrap type="square" anchorx="margin"/>
              </v:shape>
            </w:pict>
          </mc:Fallback>
        </mc:AlternateContent>
      </w:r>
      <w:r w:rsidRPr="004C579A">
        <w:rPr>
          <w:rFonts w:ascii="Arial" w:eastAsia="新細明體" w:hAnsi="Arial" w:cs="Arial"/>
          <w:sz w:val="20"/>
          <w:szCs w:val="20"/>
          <w:lang w:eastAsia="zh-TW"/>
        </w:rPr>
        <w:t>In the RAN1 #112 meeting, companies discussed the feasibility of UE-based TA measurement</w:t>
      </w:r>
      <w:r w:rsidR="00575B21" w:rsidRPr="004C579A">
        <w:rPr>
          <w:rFonts w:ascii="Arial" w:eastAsia="新細明體" w:hAnsi="Arial" w:cs="Arial"/>
          <w:sz w:val="20"/>
          <w:szCs w:val="20"/>
          <w:lang w:eastAsia="zh-TW"/>
        </w:rPr>
        <w:t>.</w:t>
      </w:r>
      <w:r w:rsidRPr="004C579A">
        <w:rPr>
          <w:rFonts w:ascii="Arial" w:eastAsia="新細明體" w:hAnsi="Arial" w:cs="Arial"/>
          <w:sz w:val="20"/>
          <w:szCs w:val="20"/>
          <w:lang w:eastAsia="zh-TW"/>
        </w:rPr>
        <w:t xml:space="preserve">  </w:t>
      </w:r>
    </w:p>
    <w:p w14:paraId="1C43B6F1" w14:textId="395099BE" w:rsidR="00F912E7" w:rsidRPr="004C579A" w:rsidRDefault="00F912E7" w:rsidP="00633208">
      <w:pPr>
        <w:spacing w:line="256" w:lineRule="auto"/>
        <w:rPr>
          <w:rFonts w:ascii="Arial" w:eastAsia="新細明體" w:hAnsi="Arial" w:cs="Arial"/>
          <w:sz w:val="20"/>
          <w:szCs w:val="20"/>
          <w:lang w:eastAsia="zh-TW"/>
        </w:rPr>
      </w:pPr>
    </w:p>
    <w:p w14:paraId="48C87DDF" w14:textId="6284A722" w:rsidR="004026FA" w:rsidRDefault="0058621E" w:rsidP="0058621E">
      <w:pPr>
        <w:spacing w:line="256" w:lineRule="auto"/>
        <w:rPr>
          <w:rFonts w:ascii="Arial" w:eastAsia="新細明體" w:hAnsi="Arial" w:cs="Arial"/>
          <w:sz w:val="20"/>
          <w:szCs w:val="20"/>
          <w:lang w:eastAsia="zh-TW"/>
        </w:rPr>
      </w:pPr>
      <w:r w:rsidRPr="004C579A">
        <w:rPr>
          <w:rFonts w:ascii="Arial" w:eastAsia="新細明體" w:hAnsi="Arial" w:cs="Arial"/>
          <w:sz w:val="20"/>
          <w:szCs w:val="20"/>
          <w:lang w:eastAsia="zh-TW"/>
        </w:rPr>
        <w:t xml:space="preserve">The advantage of this method is that the UE no longer needs to send PRACH to neighboring cells in order to obtain the corresponding TA values. However, we believe that for this measurement method to be accurate, it must be based on certain conditions. </w:t>
      </w:r>
      <w:r w:rsidR="00763500" w:rsidRPr="004C579A">
        <w:rPr>
          <w:rFonts w:ascii="Arial" w:eastAsia="新細明體" w:hAnsi="Arial" w:cs="Arial"/>
          <w:sz w:val="20"/>
          <w:szCs w:val="20"/>
          <w:lang w:eastAsia="zh-TW"/>
        </w:rPr>
        <w:t xml:space="preserve">As shown in </w:t>
      </w:r>
      <w:r w:rsidR="00763500" w:rsidRPr="004C579A">
        <w:rPr>
          <w:rFonts w:ascii="Arial" w:eastAsia="新細明體" w:hAnsi="Arial" w:cs="Arial"/>
          <w:sz w:val="20"/>
          <w:szCs w:val="20"/>
          <w:lang w:eastAsia="zh-TW"/>
        </w:rPr>
        <w:fldChar w:fldCharType="begin"/>
      </w:r>
      <w:r w:rsidR="00763500" w:rsidRPr="004C579A">
        <w:rPr>
          <w:rFonts w:ascii="Arial" w:eastAsia="新細明體" w:hAnsi="Arial" w:cs="Arial"/>
          <w:sz w:val="20"/>
          <w:szCs w:val="20"/>
          <w:lang w:eastAsia="zh-TW"/>
        </w:rPr>
        <w:instrText xml:space="preserve"> REF _Ref135043635 \h </w:instrText>
      </w:r>
      <w:r w:rsidR="00763500" w:rsidRPr="004C579A">
        <w:rPr>
          <w:rFonts w:ascii="Arial" w:eastAsia="新細明體" w:hAnsi="Arial" w:cs="Arial"/>
          <w:sz w:val="20"/>
          <w:szCs w:val="20"/>
          <w:lang w:eastAsia="zh-TW"/>
        </w:rPr>
      </w:r>
      <w:r w:rsidR="004C579A">
        <w:rPr>
          <w:rFonts w:ascii="Arial" w:eastAsia="新細明體" w:hAnsi="Arial" w:cs="Arial"/>
          <w:sz w:val="20"/>
          <w:szCs w:val="20"/>
          <w:lang w:eastAsia="zh-TW"/>
        </w:rPr>
        <w:instrText xml:space="preserve"> \* MERGEFORMAT </w:instrText>
      </w:r>
      <w:r w:rsidR="00763500" w:rsidRPr="004C579A">
        <w:rPr>
          <w:rFonts w:ascii="Arial" w:eastAsia="新細明體" w:hAnsi="Arial" w:cs="Arial"/>
          <w:sz w:val="20"/>
          <w:szCs w:val="20"/>
          <w:lang w:eastAsia="zh-TW"/>
        </w:rPr>
        <w:fldChar w:fldCharType="separate"/>
      </w:r>
      <w:r w:rsidR="004C579A" w:rsidRPr="004C579A">
        <w:rPr>
          <w:rFonts w:ascii="Arial" w:eastAsia="SimSun" w:hAnsi="Arial" w:cs="Arial"/>
          <w:b/>
          <w:bCs/>
          <w:sz w:val="20"/>
          <w:szCs w:val="20"/>
        </w:rPr>
        <w:t xml:space="preserve">Figure </w:t>
      </w:r>
      <w:r w:rsidR="004C579A" w:rsidRPr="004C579A">
        <w:rPr>
          <w:rFonts w:ascii="Arial" w:eastAsia="SimSun" w:hAnsi="Arial" w:cs="Arial"/>
          <w:b/>
          <w:bCs/>
          <w:noProof/>
          <w:sz w:val="20"/>
          <w:szCs w:val="20"/>
        </w:rPr>
        <w:t>2</w:t>
      </w:r>
      <w:r w:rsidR="00763500" w:rsidRPr="004C579A">
        <w:rPr>
          <w:rFonts w:ascii="Arial" w:eastAsia="新細明體" w:hAnsi="Arial" w:cs="Arial"/>
          <w:sz w:val="20"/>
          <w:szCs w:val="20"/>
          <w:lang w:eastAsia="zh-TW"/>
        </w:rPr>
        <w:fldChar w:fldCharType="end"/>
      </w:r>
      <w:r w:rsidR="00763500" w:rsidRPr="004C579A">
        <w:rPr>
          <w:rFonts w:ascii="Arial" w:eastAsia="新細明體" w:hAnsi="Arial" w:cs="Arial"/>
          <w:sz w:val="20"/>
          <w:szCs w:val="20"/>
          <w:lang w:eastAsia="zh-TW"/>
        </w:rPr>
        <w:t xml:space="preserve">, to ensure accurate measurement results, the UE must not only know the propagation delay </w:t>
      </w:r>
      <w:r w:rsidR="004026FA" w:rsidRPr="004026FA">
        <w:rPr>
          <w:rFonts w:ascii="Arial" w:eastAsia="新細明體" w:hAnsi="Arial" w:cs="Arial"/>
          <w:b/>
          <w:bCs/>
          <w:sz w:val="20"/>
          <w:szCs w:val="20"/>
          <w:lang w:eastAsia="zh-TW"/>
        </w:rPr>
        <w:t>t</w:t>
      </w:r>
      <w:r w:rsidR="004026FA" w:rsidRPr="004026FA">
        <w:rPr>
          <w:rFonts w:ascii="Arial" w:eastAsia="新細明體" w:hAnsi="Arial" w:cs="Arial"/>
          <w:b/>
          <w:bCs/>
          <w:sz w:val="20"/>
          <w:szCs w:val="20"/>
          <w:vertAlign w:val="subscript"/>
          <w:lang w:eastAsia="zh-TW"/>
        </w:rPr>
        <w:t>t</w:t>
      </w:r>
      <w:r w:rsidR="004026FA">
        <w:rPr>
          <w:rFonts w:ascii="Arial" w:eastAsia="新細明體" w:hAnsi="Arial" w:cs="Arial"/>
          <w:sz w:val="20"/>
          <w:szCs w:val="20"/>
          <w:lang w:eastAsia="zh-TW"/>
        </w:rPr>
        <w:t xml:space="preserve"> </w:t>
      </w:r>
      <w:r w:rsidR="00763500" w:rsidRPr="004C579A">
        <w:rPr>
          <w:rFonts w:ascii="Arial" w:eastAsia="新細明體" w:hAnsi="Arial" w:cs="Arial"/>
          <w:sz w:val="20"/>
          <w:szCs w:val="20"/>
          <w:lang w:eastAsia="zh-TW"/>
        </w:rPr>
        <w:t>but also the time difference (clock error) between the serving cell and neighboring cell</w:t>
      </w:r>
      <w:r w:rsidR="004C579A">
        <w:rPr>
          <w:rFonts w:ascii="Arial" w:eastAsia="新細明體" w:hAnsi="Arial" w:cs="Arial"/>
          <w:sz w:val="20"/>
          <w:szCs w:val="20"/>
          <w:lang w:eastAsia="zh-TW"/>
        </w:rPr>
        <w:t xml:space="preserve"> on Network side</w:t>
      </w:r>
      <w:r w:rsidR="004026FA">
        <w:rPr>
          <w:rFonts w:ascii="Arial" w:eastAsia="新細明體" w:hAnsi="Arial" w:cs="Arial"/>
          <w:sz w:val="20"/>
          <w:szCs w:val="20"/>
          <w:lang w:eastAsia="zh-TW"/>
        </w:rPr>
        <w:t xml:space="preserve"> </w:t>
      </w:r>
      <w:r w:rsidR="004026FA" w:rsidRPr="004026FA">
        <w:rPr>
          <w:rFonts w:ascii="Arial" w:eastAsia="新細明體" w:hAnsi="Arial" w:cs="Arial"/>
          <w:b/>
          <w:bCs/>
          <w:sz w:val="20"/>
          <w:szCs w:val="20"/>
          <w:lang w:eastAsia="zh-TW"/>
        </w:rPr>
        <w:t>y</w:t>
      </w:r>
      <w:r w:rsidR="00763500" w:rsidRPr="004C579A">
        <w:rPr>
          <w:rFonts w:ascii="Arial" w:eastAsia="新細明體" w:hAnsi="Arial" w:cs="Arial"/>
          <w:sz w:val="20"/>
          <w:szCs w:val="20"/>
          <w:lang w:eastAsia="zh-TW"/>
        </w:rPr>
        <w:t xml:space="preserve">. </w:t>
      </w:r>
      <w:r w:rsidR="004026FA" w:rsidRPr="004026FA">
        <w:rPr>
          <w:rFonts w:ascii="Arial" w:eastAsia="新細明體" w:hAnsi="Arial" w:cs="Arial"/>
          <w:sz w:val="20"/>
          <w:szCs w:val="20"/>
          <w:lang w:eastAsia="zh-TW"/>
        </w:rPr>
        <w:t>If either of these two pieces of information is missing, it will lead to significant errors in the UE's estimation</w:t>
      </w:r>
      <w:r w:rsidR="004026FA">
        <w:rPr>
          <w:rFonts w:ascii="Arial" w:eastAsia="新細明體" w:hAnsi="Arial" w:cs="Arial"/>
          <w:sz w:val="20"/>
          <w:szCs w:val="20"/>
          <w:lang w:eastAsia="zh-TW"/>
        </w:rPr>
        <w:t xml:space="preserve"> result</w:t>
      </w:r>
      <w:r w:rsidR="004026FA" w:rsidRPr="004026FA">
        <w:rPr>
          <w:rFonts w:ascii="Arial" w:eastAsia="新細明體" w:hAnsi="Arial" w:cs="Arial"/>
          <w:sz w:val="20"/>
          <w:szCs w:val="20"/>
          <w:lang w:eastAsia="zh-TW"/>
        </w:rPr>
        <w:t>.</w:t>
      </w:r>
      <w:r w:rsidR="004026FA">
        <w:rPr>
          <w:rFonts w:ascii="Arial" w:eastAsia="新細明體" w:hAnsi="Arial" w:cs="Arial"/>
          <w:sz w:val="20"/>
          <w:szCs w:val="20"/>
          <w:lang w:eastAsia="zh-TW"/>
        </w:rPr>
        <w:t xml:space="preserve"> </w:t>
      </w:r>
      <w:r w:rsidR="004026FA" w:rsidRPr="004026FA">
        <w:rPr>
          <w:rFonts w:ascii="Arial" w:eastAsia="新細明體" w:hAnsi="Arial" w:cs="Arial"/>
          <w:sz w:val="20"/>
          <w:szCs w:val="20"/>
          <w:lang w:eastAsia="zh-TW"/>
        </w:rPr>
        <w:t>Here, we provide an example to illustrate the reason.</w:t>
      </w:r>
      <w:r w:rsidR="004026FA">
        <w:rPr>
          <w:rFonts w:ascii="Arial" w:eastAsia="新細明體" w:hAnsi="Arial" w:cs="Arial"/>
          <w:sz w:val="20"/>
          <w:szCs w:val="20"/>
          <w:lang w:eastAsia="zh-TW"/>
        </w:rPr>
        <w:t xml:space="preserve"> </w:t>
      </w:r>
    </w:p>
    <w:p w14:paraId="456B5A01" w14:textId="77777777" w:rsidR="004026FA" w:rsidRDefault="004026FA" w:rsidP="0058621E">
      <w:pPr>
        <w:spacing w:line="256" w:lineRule="auto"/>
        <w:rPr>
          <w:rFonts w:ascii="Arial" w:eastAsia="新細明體" w:hAnsi="Arial" w:cs="Arial"/>
          <w:sz w:val="20"/>
          <w:szCs w:val="20"/>
          <w:lang w:eastAsia="zh-TW"/>
        </w:rPr>
      </w:pPr>
    </w:p>
    <w:p w14:paraId="5993E180" w14:textId="4E91AB74" w:rsidR="00F912E7" w:rsidRPr="004C579A" w:rsidRDefault="00763500" w:rsidP="0058621E">
      <w:pPr>
        <w:spacing w:line="256" w:lineRule="auto"/>
        <w:rPr>
          <w:rFonts w:ascii="Arial" w:eastAsia="新細明體" w:hAnsi="Arial" w:cs="Arial"/>
          <w:sz w:val="20"/>
          <w:szCs w:val="20"/>
          <w:lang w:eastAsia="zh-TW"/>
        </w:rPr>
      </w:pPr>
      <w:r w:rsidRPr="004C579A">
        <w:rPr>
          <w:rFonts w:ascii="Arial" w:eastAsia="新細明體" w:hAnsi="Arial" w:cs="Arial"/>
          <w:sz w:val="20"/>
          <w:szCs w:val="20"/>
          <w:lang w:eastAsia="zh-TW"/>
        </w:rPr>
        <w:t>The timing difference between cell</w:t>
      </w:r>
      <w:r w:rsidR="004C579A">
        <w:rPr>
          <w:rFonts w:ascii="Arial" w:eastAsia="新細明體" w:hAnsi="Arial" w:cs="Arial"/>
          <w:sz w:val="20"/>
          <w:szCs w:val="20"/>
          <w:lang w:eastAsia="zh-TW"/>
        </w:rPr>
        <w:t>s</w:t>
      </w:r>
      <w:r w:rsidRPr="004C579A">
        <w:rPr>
          <w:rFonts w:ascii="Arial" w:eastAsia="新細明體" w:hAnsi="Arial" w:cs="Arial"/>
          <w:sz w:val="20"/>
          <w:szCs w:val="20"/>
          <w:lang w:eastAsia="zh-TW"/>
        </w:rPr>
        <w:t xml:space="preserve"> estimated on UE side is</w:t>
      </w:r>
    </w:p>
    <w:p w14:paraId="57998736" w14:textId="52B35D9F" w:rsidR="00763500" w:rsidRPr="004C579A" w:rsidRDefault="00763500" w:rsidP="00763500">
      <w:pPr>
        <w:spacing w:line="256" w:lineRule="auto"/>
        <w:jc w:val="center"/>
        <w:rPr>
          <w:rFonts w:ascii="Arial" w:eastAsia="新細明體" w:hAnsi="Arial" w:cs="Arial"/>
          <w:sz w:val="20"/>
          <w:szCs w:val="20"/>
          <w:lang w:eastAsia="zh-TW"/>
        </w:rPr>
      </w:pPr>
      <w:r w:rsidRPr="004026FA">
        <w:rPr>
          <w:rFonts w:ascii="Arial" w:eastAsia="新細明體" w:hAnsi="Arial" w:cs="Arial"/>
          <w:b/>
          <w:bCs/>
          <w:sz w:val="20"/>
          <w:szCs w:val="20"/>
          <w:lang w:eastAsia="zh-TW"/>
        </w:rPr>
        <w:t>Δt</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target</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source</w:t>
      </w:r>
      <w:r w:rsidRPr="004C579A">
        <w:rPr>
          <w:rFonts w:ascii="Arial" w:eastAsia="新細明體" w:hAnsi="Arial" w:cs="Arial"/>
          <w:sz w:val="20"/>
          <w:szCs w:val="20"/>
          <w:lang w:eastAsia="zh-TW"/>
        </w:rPr>
        <w:br/>
        <w:t xml:space="preserve">        = </w:t>
      </w:r>
      <w:r w:rsidRPr="004026FA">
        <w:rPr>
          <w:rFonts w:ascii="Arial" w:eastAsia="新細明體" w:hAnsi="Arial" w:cs="Arial"/>
          <w:b/>
          <w:bCs/>
          <w:sz w:val="20"/>
          <w:szCs w:val="20"/>
          <w:lang w:eastAsia="zh-TW"/>
        </w:rPr>
        <w:t>y</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t</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s</w:t>
      </w:r>
      <w:r w:rsidRPr="004C579A">
        <w:rPr>
          <w:rFonts w:ascii="Arial" w:eastAsia="新細明體" w:hAnsi="Arial" w:cs="Arial"/>
          <w:sz w:val="20"/>
          <w:szCs w:val="20"/>
          <w:vertAlign w:val="subscript"/>
          <w:lang w:eastAsia="zh-TW"/>
        </w:rPr>
        <w:t>.</w:t>
      </w:r>
    </w:p>
    <w:p w14:paraId="5CB2FCEE" w14:textId="2784A2CE" w:rsidR="00763500" w:rsidRPr="004C579A" w:rsidRDefault="00763500" w:rsidP="0058621E">
      <w:pPr>
        <w:spacing w:line="256" w:lineRule="auto"/>
        <w:rPr>
          <w:rFonts w:ascii="Arial" w:eastAsia="新細明體" w:hAnsi="Arial" w:cs="Arial"/>
          <w:sz w:val="20"/>
          <w:szCs w:val="20"/>
          <w:lang w:eastAsia="zh-TW"/>
        </w:rPr>
      </w:pPr>
      <w:r w:rsidRPr="004C579A">
        <w:rPr>
          <w:rFonts w:ascii="Arial" w:eastAsia="新細明體" w:hAnsi="Arial" w:cs="Arial"/>
          <w:sz w:val="20"/>
          <w:szCs w:val="20"/>
          <w:lang w:eastAsia="zh-TW"/>
        </w:rPr>
        <w:t xml:space="preserve">And the known information for the UE is the </w:t>
      </w:r>
      <w:r w:rsidR="00E17FC8" w:rsidRPr="004C579A">
        <w:rPr>
          <w:rFonts w:ascii="Arial" w:eastAsia="新細明體" w:hAnsi="Arial" w:cs="Arial"/>
          <w:sz w:val="20"/>
          <w:szCs w:val="20"/>
          <w:lang w:eastAsia="zh-TW"/>
        </w:rPr>
        <w:t xml:space="preserve">TA of serving cell </w:t>
      </w:r>
      <w:r w:rsidR="00E17FC8" w:rsidRPr="004026FA">
        <w:rPr>
          <w:rFonts w:ascii="Arial" w:eastAsia="新細明體" w:hAnsi="Arial" w:cs="Arial"/>
          <w:b/>
          <w:bCs/>
          <w:sz w:val="20"/>
          <w:szCs w:val="20"/>
          <w:lang w:eastAsia="zh-TW"/>
        </w:rPr>
        <w:t>t</w:t>
      </w:r>
      <w:r w:rsidR="00E17FC8" w:rsidRPr="004026FA">
        <w:rPr>
          <w:rFonts w:ascii="Arial" w:eastAsia="新細明體" w:hAnsi="Arial" w:cs="Arial"/>
          <w:b/>
          <w:bCs/>
          <w:sz w:val="20"/>
          <w:szCs w:val="20"/>
          <w:vertAlign w:val="subscript"/>
          <w:lang w:eastAsia="zh-TW"/>
        </w:rPr>
        <w:t>s</w:t>
      </w:r>
      <w:r w:rsidR="00E17FC8" w:rsidRPr="004C579A">
        <w:rPr>
          <w:rFonts w:ascii="Arial" w:eastAsia="新細明體" w:hAnsi="Arial" w:cs="Arial"/>
          <w:sz w:val="20"/>
          <w:szCs w:val="20"/>
          <w:lang w:eastAsia="zh-TW"/>
        </w:rPr>
        <w:t xml:space="preserve">. Assuming no other information provided, the estimated TA of neighboring cell is </w:t>
      </w:r>
    </w:p>
    <w:p w14:paraId="060A3E45" w14:textId="2E73031D" w:rsidR="00E17FC8" w:rsidRPr="004C579A" w:rsidRDefault="00E17FC8" w:rsidP="00E17FC8">
      <w:pPr>
        <w:spacing w:line="256" w:lineRule="auto"/>
        <w:ind w:left="3124"/>
        <w:rPr>
          <w:rFonts w:ascii="Arial" w:eastAsia="新細明體" w:hAnsi="Arial" w:cs="Arial"/>
          <w:sz w:val="20"/>
          <w:szCs w:val="20"/>
          <w:lang w:eastAsia="zh-TW"/>
        </w:rPr>
      </w:pPr>
      <w:r w:rsidRPr="004C579A">
        <w:rPr>
          <w:rFonts w:ascii="Arial" w:eastAsia="新細明體" w:hAnsi="Arial" w:cs="Arial"/>
          <w:sz w:val="20"/>
          <w:szCs w:val="20"/>
          <w:lang w:eastAsia="zh-TW"/>
        </w:rPr>
        <w:t>Estimated neighboring cell</w:t>
      </w:r>
      <w:r w:rsidR="004C579A">
        <w:rPr>
          <w:rFonts w:ascii="Arial" w:eastAsia="新細明體" w:hAnsi="Arial" w:cs="Arial"/>
          <w:sz w:val="20"/>
          <w:szCs w:val="20"/>
          <w:lang w:eastAsia="zh-TW"/>
        </w:rPr>
        <w:t>’</w:t>
      </w:r>
      <w:r w:rsidRPr="004C579A">
        <w:rPr>
          <w:rFonts w:ascii="Arial" w:eastAsia="新細明體" w:hAnsi="Arial" w:cs="Arial"/>
          <w:sz w:val="20"/>
          <w:szCs w:val="20"/>
          <w:lang w:eastAsia="zh-TW"/>
        </w:rPr>
        <w:t>s TA</w:t>
      </w:r>
    </w:p>
    <w:p w14:paraId="5203951D" w14:textId="77777777" w:rsidR="00E17FC8" w:rsidRPr="004C579A" w:rsidRDefault="00E17FC8" w:rsidP="00E17FC8">
      <w:pPr>
        <w:spacing w:line="256" w:lineRule="auto"/>
        <w:ind w:left="3124"/>
        <w:rPr>
          <w:rFonts w:ascii="Arial" w:eastAsia="新細明體" w:hAnsi="Arial" w:cs="Arial"/>
          <w:sz w:val="20"/>
          <w:szCs w:val="20"/>
          <w:lang w:eastAsia="zh-TW"/>
        </w:rPr>
      </w:pPr>
      <w:r w:rsidRPr="004C579A">
        <w:rPr>
          <w:rFonts w:ascii="Arial" w:eastAsia="新細明體" w:hAnsi="Arial" w:cs="Arial"/>
          <w:sz w:val="20"/>
          <w:szCs w:val="20"/>
          <w:lang w:eastAsia="zh-TW"/>
        </w:rPr>
        <w:lastRenderedPageBreak/>
        <w:t xml:space="preserve">         =  – [</w:t>
      </w:r>
      <w:r w:rsidRPr="004026FA">
        <w:rPr>
          <w:rFonts w:ascii="Arial" w:eastAsia="新細明體" w:hAnsi="Arial" w:cs="Arial"/>
          <w:b/>
          <w:bCs/>
          <w:sz w:val="20"/>
          <w:szCs w:val="20"/>
          <w:lang w:eastAsia="zh-TW"/>
        </w:rPr>
        <w:t xml:space="preserve">Δt </w:t>
      </w:r>
      <w:r w:rsidRPr="004C579A">
        <w:rPr>
          <w:rFonts w:ascii="Arial" w:eastAsia="新細明體" w:hAnsi="Arial" w:cs="Arial"/>
          <w:sz w:val="20"/>
          <w:szCs w:val="20"/>
          <w:lang w:eastAsia="zh-TW"/>
        </w:rPr>
        <w:t xml:space="preserve">+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s</w:t>
      </w:r>
      <w:r w:rsidRPr="004C579A">
        <w:rPr>
          <w:rFonts w:ascii="Arial" w:eastAsia="新細明體" w:hAnsi="Arial" w:cs="Arial"/>
          <w:sz w:val="20"/>
          <w:szCs w:val="20"/>
          <w:lang w:eastAsia="zh-TW"/>
        </w:rPr>
        <w:t>]</w:t>
      </w:r>
      <w:r w:rsidRPr="004C579A">
        <w:rPr>
          <w:rFonts w:ascii="Arial" w:eastAsia="新細明體" w:hAnsi="Arial" w:cs="Arial"/>
          <w:sz w:val="20"/>
          <w:szCs w:val="20"/>
          <w:lang w:eastAsia="zh-TW"/>
        </w:rPr>
        <w:br/>
        <w:t xml:space="preserve">         =  – </w:t>
      </w:r>
      <w:r w:rsidRPr="004026FA">
        <w:rPr>
          <w:rFonts w:ascii="Arial" w:eastAsia="新細明體" w:hAnsi="Arial" w:cs="Arial"/>
          <w:b/>
          <w:bCs/>
          <w:sz w:val="20"/>
          <w:szCs w:val="20"/>
          <w:lang w:eastAsia="zh-TW"/>
        </w:rPr>
        <w:t>y</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t</w:t>
      </w:r>
    </w:p>
    <w:p w14:paraId="6E7C4E47" w14:textId="0F7340E5" w:rsidR="00E17FC8" w:rsidRPr="004C579A" w:rsidRDefault="00E17FC8" w:rsidP="00E17FC8">
      <w:pPr>
        <w:spacing w:line="256" w:lineRule="auto"/>
        <w:ind w:left="3124"/>
        <w:rPr>
          <w:rFonts w:ascii="Arial" w:eastAsia="新細明體" w:hAnsi="Arial" w:cs="Arial"/>
          <w:sz w:val="20"/>
          <w:szCs w:val="20"/>
          <w:lang w:eastAsia="zh-TW"/>
        </w:rPr>
      </w:pPr>
      <w:r w:rsidRPr="004C579A">
        <w:rPr>
          <w:rFonts w:ascii="Arial" w:eastAsia="新細明體" w:hAnsi="Arial" w:cs="Arial"/>
          <w:sz w:val="20"/>
          <w:szCs w:val="20"/>
          <w:lang w:eastAsia="zh-TW"/>
        </w:rPr>
        <w:t xml:space="preserve">Estimation error  </w:t>
      </w:r>
      <w:r w:rsidRPr="004C579A">
        <w:rPr>
          <w:rFonts w:ascii="Arial" w:eastAsia="新細明體" w:hAnsi="Arial" w:cs="Arial"/>
          <w:sz w:val="20"/>
          <w:szCs w:val="20"/>
          <w:lang w:eastAsia="zh-TW"/>
        </w:rPr>
        <w:br/>
        <w:t xml:space="preserve">= Estimated neighboring cell’s TA – </w:t>
      </w:r>
      <w:r w:rsidRPr="004C579A">
        <w:rPr>
          <w:rFonts w:ascii="Arial" w:eastAsia="新細明體" w:hAnsi="Arial" w:cs="Arial"/>
          <w:sz w:val="20"/>
          <w:szCs w:val="20"/>
          <w:lang w:eastAsia="zh-TW"/>
        </w:rPr>
        <w:br/>
        <w:t xml:space="preserve">   True neighboring cell’s TA</w:t>
      </w:r>
      <w:r w:rsidRPr="004C579A">
        <w:rPr>
          <w:rFonts w:ascii="Arial" w:eastAsia="新細明體" w:hAnsi="Arial" w:cs="Arial"/>
          <w:sz w:val="20"/>
          <w:szCs w:val="20"/>
          <w:lang w:eastAsia="zh-TW"/>
        </w:rPr>
        <w:br/>
        <w:t xml:space="preserve">=  [ </w:t>
      </w:r>
      <w:r w:rsidRPr="004026FA">
        <w:rPr>
          <w:rFonts w:ascii="Arial" w:eastAsia="新細明體" w:hAnsi="Arial" w:cs="Arial"/>
          <w:b/>
          <w:bCs/>
          <w:sz w:val="20"/>
          <w:szCs w:val="20"/>
          <w:lang w:eastAsia="zh-TW"/>
        </w:rPr>
        <w:t>T</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y</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t</w:t>
      </w:r>
      <w:r w:rsidRPr="004C579A">
        <w:rPr>
          <w:rFonts w:ascii="Arial" w:eastAsia="新細明體" w:hAnsi="Arial" w:cs="Arial"/>
          <w:sz w:val="20"/>
          <w:szCs w:val="20"/>
          <w:lang w:eastAsia="zh-TW"/>
        </w:rPr>
        <w:t xml:space="preserve">] – [ </w:t>
      </w:r>
      <w:r w:rsidR="004026FA" w:rsidRPr="004026FA">
        <w:rPr>
          <w:rFonts w:ascii="Arial" w:eastAsia="新細明體" w:hAnsi="Arial" w:cs="Arial"/>
          <w:b/>
          <w:bCs/>
          <w:sz w:val="20"/>
          <w:szCs w:val="20"/>
          <w:lang w:eastAsia="zh-TW"/>
        </w:rPr>
        <w:t>T</w:t>
      </w:r>
      <w:r w:rsidR="004026FA" w:rsidRPr="004026FA">
        <w:rPr>
          <w:rFonts w:ascii="Arial" w:eastAsia="新細明體" w:hAnsi="Arial" w:cs="Arial"/>
          <w:b/>
          <w:bCs/>
          <w:sz w:val="20"/>
          <w:szCs w:val="20"/>
          <w:lang w:eastAsia="zh-TW"/>
        </w:rPr>
        <w:t xml:space="preserve"> </w:t>
      </w:r>
      <w:r w:rsidR="004026FA" w:rsidRPr="004026FA">
        <w:rPr>
          <w:rFonts w:ascii="Arial" w:eastAsia="新細明體" w:hAnsi="Arial" w:cs="Arial"/>
          <w:sz w:val="20"/>
          <w:szCs w:val="20"/>
          <w:lang w:eastAsia="zh-TW"/>
        </w:rPr>
        <w:t>+</w:t>
      </w:r>
      <w:r w:rsidR="004026FA">
        <w:rPr>
          <w:rFonts w:ascii="Arial" w:eastAsia="新細明體" w:hAnsi="Arial" w:cs="Arial"/>
          <w:b/>
          <w:bCs/>
          <w:sz w:val="20"/>
          <w:szCs w:val="20"/>
          <w:lang w:eastAsia="zh-TW"/>
        </w:rPr>
        <w:t xml:space="preserve"> </w:t>
      </w:r>
      <w:r w:rsidRPr="004026FA">
        <w:rPr>
          <w:rFonts w:ascii="Arial" w:eastAsia="新細明體" w:hAnsi="Arial" w:cs="Arial"/>
          <w:b/>
          <w:bCs/>
          <w:sz w:val="20"/>
          <w:szCs w:val="20"/>
          <w:lang w:eastAsia="zh-TW"/>
        </w:rPr>
        <w:t>y</w:t>
      </w:r>
      <w:r w:rsidRPr="004C579A">
        <w:rPr>
          <w:rFonts w:ascii="Arial" w:eastAsia="新細明體" w:hAnsi="Arial" w:cs="Arial"/>
          <w:sz w:val="20"/>
          <w:szCs w:val="20"/>
          <w:lang w:eastAsia="zh-TW"/>
        </w:rPr>
        <w:t xml:space="preserve"> – </w:t>
      </w:r>
      <w:r w:rsidRPr="004026FA">
        <w:rPr>
          <w:rFonts w:ascii="Arial" w:eastAsia="新細明體" w:hAnsi="Arial" w:cs="Arial"/>
          <w:b/>
          <w:bCs/>
          <w:sz w:val="20"/>
          <w:szCs w:val="20"/>
          <w:lang w:eastAsia="zh-TW"/>
        </w:rPr>
        <w:t>t</w:t>
      </w:r>
      <w:r w:rsidRPr="004026FA">
        <w:rPr>
          <w:rFonts w:ascii="Arial" w:eastAsia="新細明體" w:hAnsi="Arial" w:cs="Arial"/>
          <w:b/>
          <w:bCs/>
          <w:sz w:val="20"/>
          <w:szCs w:val="20"/>
          <w:vertAlign w:val="subscript"/>
          <w:lang w:eastAsia="zh-TW"/>
        </w:rPr>
        <w:t>t</w:t>
      </w:r>
      <w:r w:rsidRPr="004C579A">
        <w:rPr>
          <w:rFonts w:ascii="Arial" w:eastAsia="新細明體" w:hAnsi="Arial" w:cs="Arial"/>
          <w:sz w:val="20"/>
          <w:szCs w:val="20"/>
          <w:lang w:eastAsia="zh-TW"/>
        </w:rPr>
        <w:t>]</w:t>
      </w:r>
      <w:r w:rsidRPr="004C579A">
        <w:rPr>
          <w:rFonts w:ascii="Arial" w:eastAsia="新細明體" w:hAnsi="Arial" w:cs="Arial"/>
          <w:sz w:val="20"/>
          <w:szCs w:val="20"/>
          <w:lang w:eastAsia="zh-TW"/>
        </w:rPr>
        <w:br/>
        <w:t>= -2</w:t>
      </w:r>
      <w:r w:rsidRPr="004026FA">
        <w:rPr>
          <w:rFonts w:ascii="Arial" w:eastAsia="新細明體" w:hAnsi="Arial" w:cs="Arial"/>
          <w:b/>
          <w:bCs/>
          <w:sz w:val="20"/>
          <w:szCs w:val="20"/>
          <w:lang w:eastAsia="zh-TW"/>
        </w:rPr>
        <w:t>y</w:t>
      </w:r>
    </w:p>
    <w:p w14:paraId="26667DFF" w14:textId="77777777" w:rsidR="00E17FC8" w:rsidRPr="004C579A" w:rsidRDefault="00E17FC8" w:rsidP="0058621E">
      <w:pPr>
        <w:spacing w:line="256" w:lineRule="auto"/>
        <w:rPr>
          <w:rFonts w:ascii="Arial" w:eastAsia="新細明體" w:hAnsi="Arial" w:cs="Arial"/>
          <w:sz w:val="20"/>
          <w:szCs w:val="20"/>
          <w:lang w:eastAsia="zh-TW"/>
        </w:rPr>
      </w:pPr>
    </w:p>
    <w:p w14:paraId="5FA063E2" w14:textId="26B4BE1F" w:rsidR="00633208" w:rsidRPr="004C579A" w:rsidRDefault="00763500" w:rsidP="0058621E">
      <w:pPr>
        <w:spacing w:line="256" w:lineRule="auto"/>
        <w:jc w:val="center"/>
        <w:rPr>
          <w:rFonts w:ascii="Arial" w:eastAsia="新細明體" w:hAnsi="Arial" w:cs="Arial"/>
          <w:sz w:val="20"/>
          <w:szCs w:val="20"/>
        </w:rPr>
      </w:pPr>
      <w:r w:rsidRPr="004C579A">
        <w:rPr>
          <w:rFonts w:ascii="Arial" w:eastAsia="新細明體" w:hAnsi="Arial" w:cs="Arial"/>
          <w:noProof/>
          <w:sz w:val="20"/>
          <w:szCs w:val="20"/>
        </w:rPr>
        <w:drawing>
          <wp:inline distT="0" distB="0" distL="0" distR="0" wp14:anchorId="577F68C7" wp14:editId="5DC9EDCD">
            <wp:extent cx="5389245" cy="2914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9245" cy="2914015"/>
                    </a:xfrm>
                    <a:prstGeom prst="rect">
                      <a:avLst/>
                    </a:prstGeom>
                    <a:noFill/>
                  </pic:spPr>
                </pic:pic>
              </a:graphicData>
            </a:graphic>
          </wp:inline>
        </w:drawing>
      </w:r>
      <w:r w:rsidR="0058621E" w:rsidRPr="004C579A">
        <w:rPr>
          <w:rFonts w:ascii="Arial" w:eastAsia="新細明體" w:hAnsi="Arial" w:cs="Arial"/>
          <w:noProof/>
          <w:sz w:val="20"/>
          <w:szCs w:val="20"/>
        </w:rPr>
        <w:drawing>
          <wp:inline distT="0" distB="0" distL="0" distR="0" wp14:anchorId="62EC1281" wp14:editId="6A32F47E">
            <wp:extent cx="4296859" cy="2780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0060" cy="2782101"/>
                    </a:xfrm>
                    <a:prstGeom prst="rect">
                      <a:avLst/>
                    </a:prstGeom>
                    <a:noFill/>
                  </pic:spPr>
                </pic:pic>
              </a:graphicData>
            </a:graphic>
          </wp:inline>
        </w:drawing>
      </w:r>
    </w:p>
    <w:p w14:paraId="622BD3B5" w14:textId="119567E1" w:rsidR="00763500" w:rsidRPr="004C579A" w:rsidRDefault="00763500" w:rsidP="00763500">
      <w:pPr>
        <w:spacing w:before="120" w:after="120" w:line="256" w:lineRule="auto"/>
        <w:jc w:val="center"/>
        <w:rPr>
          <w:rFonts w:ascii="Arial" w:eastAsia="SimSun" w:hAnsi="Arial" w:cs="Arial"/>
          <w:b/>
          <w:bCs/>
          <w:sz w:val="20"/>
          <w:szCs w:val="20"/>
        </w:rPr>
      </w:pPr>
      <w:bookmarkStart w:id="16" w:name="_Ref135043635"/>
      <w:r w:rsidRPr="004C579A">
        <w:rPr>
          <w:rFonts w:ascii="Arial" w:eastAsia="SimSun" w:hAnsi="Arial" w:cs="Arial"/>
          <w:b/>
          <w:bCs/>
          <w:sz w:val="20"/>
          <w:szCs w:val="20"/>
        </w:rPr>
        <w:t xml:space="preserve">Figure </w:t>
      </w:r>
      <w:r w:rsidRPr="004C579A">
        <w:rPr>
          <w:rFonts w:ascii="Arial" w:eastAsia="SimSun" w:hAnsi="Arial" w:cs="Arial"/>
          <w:b/>
          <w:sz w:val="20"/>
          <w:szCs w:val="20"/>
        </w:rPr>
        <w:fldChar w:fldCharType="begin"/>
      </w:r>
      <w:r w:rsidRPr="004C579A">
        <w:rPr>
          <w:rFonts w:ascii="Arial" w:eastAsia="SimSun" w:hAnsi="Arial" w:cs="Arial"/>
          <w:b/>
          <w:bCs/>
          <w:sz w:val="20"/>
          <w:szCs w:val="20"/>
        </w:rPr>
        <w:instrText xml:space="preserve"> SEQ Figure \* ARABIC </w:instrText>
      </w:r>
      <w:r w:rsidRPr="004C579A">
        <w:rPr>
          <w:rFonts w:ascii="Arial" w:eastAsia="SimSun" w:hAnsi="Arial" w:cs="Arial"/>
          <w:b/>
          <w:sz w:val="20"/>
          <w:szCs w:val="20"/>
        </w:rPr>
        <w:fldChar w:fldCharType="separate"/>
      </w:r>
      <w:r w:rsidR="004C579A" w:rsidRPr="004C579A">
        <w:rPr>
          <w:rFonts w:ascii="Arial" w:eastAsia="SimSun" w:hAnsi="Arial" w:cs="Arial"/>
          <w:b/>
          <w:bCs/>
          <w:noProof/>
          <w:sz w:val="20"/>
          <w:szCs w:val="20"/>
        </w:rPr>
        <w:t>2</w:t>
      </w:r>
      <w:r w:rsidRPr="004C579A">
        <w:rPr>
          <w:rFonts w:ascii="Arial" w:eastAsia="SimSun" w:hAnsi="Arial" w:cs="Arial"/>
          <w:b/>
          <w:sz w:val="20"/>
          <w:szCs w:val="20"/>
        </w:rPr>
        <w:fldChar w:fldCharType="end"/>
      </w:r>
      <w:bookmarkEnd w:id="16"/>
      <w:r w:rsidRPr="004C579A">
        <w:rPr>
          <w:rFonts w:ascii="Arial" w:eastAsia="SimSun" w:hAnsi="Arial" w:cs="Arial"/>
          <w:b/>
          <w:bCs/>
          <w:sz w:val="20"/>
          <w:szCs w:val="20"/>
        </w:rPr>
        <w:t>: UE based TA measurement procedure</w:t>
      </w:r>
    </w:p>
    <w:p w14:paraId="25C42001" w14:textId="18DEC774" w:rsidR="00763500" w:rsidRPr="004C579A" w:rsidRDefault="00763500" w:rsidP="0058621E">
      <w:pPr>
        <w:spacing w:line="256" w:lineRule="auto"/>
        <w:jc w:val="center"/>
        <w:rPr>
          <w:rFonts w:ascii="Arial" w:eastAsia="新細明體" w:hAnsi="Arial" w:cs="Arial"/>
          <w:sz w:val="20"/>
          <w:szCs w:val="20"/>
        </w:rPr>
      </w:pPr>
    </w:p>
    <w:p w14:paraId="359670BA" w14:textId="223CD2CD" w:rsidR="00E17FC8" w:rsidRPr="004C579A" w:rsidRDefault="00E17FC8" w:rsidP="00575B21">
      <w:pPr>
        <w:spacing w:line="256" w:lineRule="auto"/>
        <w:rPr>
          <w:rFonts w:ascii="Arial" w:eastAsia="新細明體" w:hAnsi="Arial" w:cs="Arial"/>
          <w:sz w:val="20"/>
          <w:szCs w:val="20"/>
        </w:rPr>
      </w:pPr>
      <w:r w:rsidRPr="004C579A">
        <w:rPr>
          <w:rFonts w:ascii="Arial" w:eastAsia="新細明體" w:hAnsi="Arial" w:cs="Arial"/>
          <w:sz w:val="20"/>
          <w:szCs w:val="20"/>
        </w:rPr>
        <w:lastRenderedPageBreak/>
        <w:t xml:space="preserve">We can see that the </w:t>
      </w:r>
      <w:r w:rsidR="00D95038" w:rsidRPr="004C579A">
        <w:rPr>
          <w:rFonts w:ascii="Arial" w:eastAsia="新細明體" w:hAnsi="Arial" w:cs="Arial"/>
          <w:sz w:val="20"/>
          <w:szCs w:val="20"/>
        </w:rPr>
        <w:t xml:space="preserve">timing difference between cells on Network side </w:t>
      </w:r>
      <w:r w:rsidR="004026FA" w:rsidRPr="004026FA">
        <w:rPr>
          <w:rFonts w:ascii="Arial" w:eastAsia="新細明體" w:hAnsi="Arial" w:cs="Arial"/>
          <w:b/>
          <w:bCs/>
          <w:sz w:val="20"/>
          <w:szCs w:val="20"/>
        </w:rPr>
        <w:t>y</w:t>
      </w:r>
      <w:r w:rsidR="004026FA">
        <w:rPr>
          <w:rFonts w:ascii="Arial" w:eastAsia="新細明體" w:hAnsi="Arial" w:cs="Arial"/>
          <w:sz w:val="20"/>
          <w:szCs w:val="20"/>
        </w:rPr>
        <w:t xml:space="preserve"> </w:t>
      </w:r>
      <w:r w:rsidR="00D95038" w:rsidRPr="004C579A">
        <w:rPr>
          <w:rFonts w:ascii="Arial" w:eastAsia="新細明體" w:hAnsi="Arial" w:cs="Arial"/>
          <w:sz w:val="20"/>
          <w:szCs w:val="20"/>
        </w:rPr>
        <w:t>would be doubled in the</w:t>
      </w:r>
      <w:r w:rsidR="00D95038" w:rsidRPr="004C579A">
        <w:rPr>
          <w:rFonts w:ascii="Arial" w:hAnsi="Arial" w:cs="Arial"/>
        </w:rPr>
        <w:t xml:space="preserve"> </w:t>
      </w:r>
      <w:r w:rsidR="00D95038" w:rsidRPr="004C579A">
        <w:rPr>
          <w:rFonts w:ascii="Arial" w:eastAsia="新細明體" w:hAnsi="Arial" w:cs="Arial"/>
          <w:sz w:val="20"/>
          <w:szCs w:val="20"/>
        </w:rPr>
        <w:t xml:space="preserve">estimated TA value of neighboring cell. In other words, if there exists a certain clock error of </w:t>
      </w:r>
      <w:r w:rsidR="00D95038" w:rsidRPr="004026FA">
        <w:rPr>
          <w:rFonts w:ascii="Arial" w:eastAsia="新細明體" w:hAnsi="Arial" w:cs="Arial"/>
          <w:b/>
          <w:bCs/>
          <w:sz w:val="20"/>
          <w:szCs w:val="20"/>
        </w:rPr>
        <w:t>3</w:t>
      </w:r>
      <m:oMath>
        <m:r>
          <m:rPr>
            <m:sty m:val="bi"/>
          </m:rPr>
          <w:rPr>
            <w:rFonts w:ascii="Cambria Math" w:eastAsia="新細明體" w:hAnsi="Cambria Math" w:cs="Arial"/>
            <w:sz w:val="20"/>
            <w:szCs w:val="20"/>
            <w:lang w:eastAsia="zh-TW"/>
          </w:rPr>
          <m:t>μs</m:t>
        </m:r>
      </m:oMath>
      <w:r w:rsidR="00D95038" w:rsidRPr="004C579A">
        <w:rPr>
          <w:rFonts w:ascii="Arial" w:eastAsia="新細明體" w:hAnsi="Arial" w:cs="Arial"/>
          <w:sz w:val="20"/>
          <w:szCs w:val="20"/>
          <w:lang w:eastAsia="zh-TW"/>
        </w:rPr>
        <w:t xml:space="preserve"> </w:t>
      </w:r>
      <w:r w:rsidR="00D95038" w:rsidRPr="004C579A">
        <w:rPr>
          <w:rFonts w:ascii="Arial" w:eastAsia="新細明體" w:hAnsi="Arial" w:cs="Arial"/>
          <w:sz w:val="20"/>
          <w:szCs w:val="20"/>
        </w:rPr>
        <w:t xml:space="preserve">between cells </w:t>
      </w:r>
      <w:r w:rsidR="004026FA">
        <w:rPr>
          <w:rFonts w:ascii="Arial" w:eastAsia="新細明體" w:hAnsi="Arial" w:cs="Arial"/>
          <w:sz w:val="20"/>
          <w:szCs w:val="20"/>
        </w:rPr>
        <w:t xml:space="preserve">on network side </w:t>
      </w:r>
      <w:r w:rsidR="00D95038" w:rsidRPr="004C579A">
        <w:rPr>
          <w:rFonts w:ascii="Arial" w:eastAsia="新細明體" w:hAnsi="Arial" w:cs="Arial"/>
          <w:sz w:val="20"/>
          <w:szCs w:val="20"/>
        </w:rPr>
        <w:t xml:space="preserve">and UE is unaware of that error value, the UE’s estimated result will differ from the actual TA value of neighboring cell by </w:t>
      </w:r>
      <w:r w:rsidR="00D95038" w:rsidRPr="004026FA">
        <w:rPr>
          <w:rFonts w:ascii="Arial" w:eastAsia="新細明體" w:hAnsi="Arial" w:cs="Arial"/>
          <w:b/>
          <w:bCs/>
          <w:sz w:val="20"/>
          <w:szCs w:val="20"/>
        </w:rPr>
        <w:t>6</w:t>
      </w:r>
      <m:oMath>
        <m:r>
          <m:rPr>
            <m:sty m:val="bi"/>
          </m:rPr>
          <w:rPr>
            <w:rFonts w:ascii="Cambria Math" w:eastAsia="新細明體" w:hAnsi="Cambria Math" w:cs="Arial"/>
            <w:sz w:val="20"/>
            <w:szCs w:val="20"/>
            <w:lang w:eastAsia="zh-TW"/>
          </w:rPr>
          <m:t xml:space="preserve"> μs</m:t>
        </m:r>
      </m:oMath>
      <w:r w:rsidRPr="004C579A">
        <w:rPr>
          <w:rFonts w:ascii="Arial" w:eastAsia="新細明體" w:hAnsi="Arial" w:cs="Arial"/>
          <w:sz w:val="20"/>
          <w:szCs w:val="20"/>
        </w:rPr>
        <w:t>.</w:t>
      </w:r>
      <w:r w:rsidR="00D95038" w:rsidRPr="004C579A">
        <w:rPr>
          <w:rFonts w:ascii="Arial" w:eastAsia="新細明體" w:hAnsi="Arial" w:cs="Arial"/>
          <w:sz w:val="20"/>
          <w:szCs w:val="20"/>
        </w:rPr>
        <w:t xml:space="preserve"> We don’t think that this error is acceptable.</w:t>
      </w:r>
      <w:r w:rsidR="00336CA3" w:rsidRPr="004C579A">
        <w:rPr>
          <w:rFonts w:ascii="Arial" w:eastAsia="新細明體" w:hAnsi="Arial" w:cs="Arial"/>
          <w:sz w:val="20"/>
          <w:szCs w:val="20"/>
        </w:rPr>
        <w:t xml:space="preserve"> So we suggest that UE-based TA measurement can only be agreed</w:t>
      </w:r>
      <w:r w:rsidR="00575B21" w:rsidRPr="004C579A">
        <w:rPr>
          <w:rFonts w:ascii="Arial" w:eastAsia="新細明體" w:hAnsi="Arial" w:cs="Arial"/>
          <w:sz w:val="20"/>
          <w:szCs w:val="20"/>
        </w:rPr>
        <w:t xml:space="preserve"> upon if the following two conditions are met; otherwise, we risk misleading RAN4 in setting unreasonable requirements.</w:t>
      </w:r>
    </w:p>
    <w:p w14:paraId="59E5DDD3" w14:textId="0C725CD6" w:rsidR="00C90C90" w:rsidRPr="004C579A" w:rsidRDefault="00336CA3" w:rsidP="00C90C90">
      <w:pPr>
        <w:pStyle w:val="Caption"/>
        <w:rPr>
          <w:rFonts w:ascii="Arial" w:hAnsi="Arial" w:cs="Arial"/>
          <w:i/>
          <w:sz w:val="22"/>
          <w:szCs w:val="22"/>
        </w:rPr>
      </w:pPr>
      <w:bookmarkStart w:id="17" w:name="_Ref135056576"/>
      <w:r w:rsidRPr="004C579A">
        <w:rPr>
          <w:rFonts w:ascii="Arial" w:hAnsi="Arial" w:cs="Arial"/>
          <w:i/>
          <w:sz w:val="22"/>
          <w:szCs w:val="22"/>
        </w:rPr>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4C579A" w:rsidRPr="004C579A">
        <w:rPr>
          <w:rFonts w:ascii="Arial" w:hAnsi="Arial" w:cs="Arial"/>
          <w:i/>
          <w:noProof/>
          <w:sz w:val="22"/>
          <w:szCs w:val="22"/>
        </w:rPr>
        <w:t>6</w:t>
      </w:r>
      <w:r w:rsidRPr="004C579A">
        <w:rPr>
          <w:rFonts w:ascii="Arial" w:hAnsi="Arial" w:cs="Arial"/>
          <w:i/>
          <w:sz w:val="22"/>
          <w:szCs w:val="22"/>
        </w:rPr>
        <w:fldChar w:fldCharType="end"/>
      </w:r>
      <w:r w:rsidRPr="004C579A">
        <w:rPr>
          <w:rFonts w:ascii="Arial" w:hAnsi="Arial" w:cs="Arial"/>
          <w:i/>
          <w:sz w:val="22"/>
          <w:szCs w:val="22"/>
        </w:rPr>
        <w:t xml:space="preserve">: UE-based TA measurement can only be agreed </w:t>
      </w:r>
      <w:r w:rsidR="00575B21" w:rsidRPr="004C579A">
        <w:rPr>
          <w:rFonts w:ascii="Arial" w:hAnsi="Arial" w:cs="Arial"/>
          <w:i/>
          <w:sz w:val="22"/>
          <w:szCs w:val="22"/>
        </w:rPr>
        <w:t xml:space="preserve">upon </w:t>
      </w:r>
      <w:r w:rsidRPr="004C579A">
        <w:rPr>
          <w:rFonts w:ascii="Arial" w:hAnsi="Arial" w:cs="Arial"/>
          <w:i/>
          <w:sz w:val="22"/>
          <w:szCs w:val="22"/>
        </w:rPr>
        <w:t>i</w:t>
      </w:r>
      <w:r w:rsidR="00C90C90" w:rsidRPr="004C579A">
        <w:rPr>
          <w:rFonts w:ascii="Arial" w:hAnsi="Arial" w:cs="Arial"/>
          <w:i/>
          <w:sz w:val="22"/>
          <w:szCs w:val="22"/>
        </w:rPr>
        <w:t xml:space="preserve">f </w:t>
      </w:r>
    </w:p>
    <w:p w14:paraId="4721F47C" w14:textId="77777777" w:rsidR="00C90C90" w:rsidRPr="004C579A" w:rsidRDefault="00C90C90" w:rsidP="00C90C90">
      <w:pPr>
        <w:pStyle w:val="Caption"/>
        <w:numPr>
          <w:ilvl w:val="0"/>
          <w:numId w:val="24"/>
        </w:numPr>
        <w:rPr>
          <w:rFonts w:ascii="Arial" w:hAnsi="Arial" w:cs="Arial"/>
          <w:i/>
          <w:sz w:val="22"/>
          <w:szCs w:val="22"/>
        </w:rPr>
      </w:pPr>
      <w:r w:rsidRPr="004C579A">
        <w:rPr>
          <w:rFonts w:ascii="Arial" w:hAnsi="Arial" w:cs="Arial"/>
          <w:i/>
          <w:sz w:val="22"/>
          <w:szCs w:val="22"/>
        </w:rPr>
        <w:t xml:space="preserve">the network can guarantee that the clock error between 2 cells is less than X nanoseconds, where value of x is FFS, and </w:t>
      </w:r>
    </w:p>
    <w:p w14:paraId="7836520D" w14:textId="4583F285" w:rsidR="00336CA3" w:rsidRPr="004C579A" w:rsidRDefault="00C90C90" w:rsidP="00C90C90">
      <w:pPr>
        <w:pStyle w:val="Caption"/>
        <w:numPr>
          <w:ilvl w:val="0"/>
          <w:numId w:val="24"/>
        </w:numPr>
        <w:rPr>
          <w:rFonts w:ascii="Arial" w:hAnsi="Arial" w:cs="Arial"/>
          <w:i/>
          <w:sz w:val="22"/>
          <w:szCs w:val="22"/>
        </w:rPr>
      </w:pPr>
      <w:r w:rsidRPr="004C579A">
        <w:rPr>
          <w:rFonts w:ascii="Arial" w:hAnsi="Arial" w:cs="Arial"/>
          <w:i/>
          <w:sz w:val="22"/>
          <w:szCs w:val="22"/>
        </w:rPr>
        <w:t>the network can inform UE of the timing different (including the clock error) between cells y</w:t>
      </w:r>
      <w:r w:rsidR="004026FA">
        <w:rPr>
          <w:rFonts w:ascii="Arial" w:hAnsi="Arial" w:cs="Arial"/>
          <w:i/>
          <w:sz w:val="22"/>
          <w:szCs w:val="22"/>
        </w:rPr>
        <w:t xml:space="preserve"> on network side</w:t>
      </w:r>
      <w:r w:rsidRPr="004C579A">
        <w:rPr>
          <w:rFonts w:ascii="Arial" w:hAnsi="Arial" w:cs="Arial"/>
          <w:i/>
          <w:sz w:val="22"/>
          <w:szCs w:val="22"/>
        </w:rPr>
        <w:t>, allowing UE to derive neighboring cell’s TA by itself (no need for PRACH transmission toward neighboring cell)</w:t>
      </w:r>
      <w:bookmarkEnd w:id="17"/>
    </w:p>
    <w:bookmarkEnd w:id="3"/>
    <w:bookmarkEnd w:id="4"/>
    <w:bookmarkEnd w:id="5"/>
    <w:bookmarkEnd w:id="6"/>
    <w:bookmarkEnd w:id="7"/>
    <w:p w14:paraId="2724CA37" w14:textId="2DC293A9" w:rsidR="00633208" w:rsidRPr="004C579A" w:rsidRDefault="002B026F" w:rsidP="00633208">
      <w:pPr>
        <w:keepNext/>
        <w:keepLines/>
        <w:pBdr>
          <w:top w:val="single" w:sz="12" w:space="3" w:color="auto"/>
        </w:pBdr>
        <w:overflowPunct w:val="0"/>
        <w:autoSpaceDE w:val="0"/>
        <w:autoSpaceDN w:val="0"/>
        <w:adjustRightInd w:val="0"/>
        <w:spacing w:before="240" w:after="180" w:line="240" w:lineRule="auto"/>
        <w:outlineLvl w:val="0"/>
        <w:rPr>
          <w:rFonts w:ascii="Arial" w:eastAsia="SimSun" w:hAnsi="Arial" w:cs="Arial"/>
          <w:color w:val="000000" w:themeColor="text1"/>
          <w:sz w:val="36"/>
          <w:szCs w:val="20"/>
          <w:lang w:eastAsia="en-US"/>
        </w:rPr>
      </w:pPr>
      <w:r w:rsidRPr="004C579A">
        <w:rPr>
          <w:rFonts w:ascii="Arial" w:eastAsia="SimSun" w:hAnsi="Arial" w:cs="Arial"/>
          <w:color w:val="000000" w:themeColor="text1"/>
          <w:sz w:val="36"/>
          <w:szCs w:val="20"/>
          <w:lang w:eastAsia="en-US"/>
        </w:rPr>
        <w:t>4</w:t>
      </w:r>
      <w:r w:rsidR="00633208" w:rsidRPr="004C579A">
        <w:rPr>
          <w:rFonts w:ascii="Arial" w:eastAsia="SimSun" w:hAnsi="Arial" w:cs="Arial"/>
          <w:color w:val="000000" w:themeColor="text1"/>
          <w:sz w:val="36"/>
          <w:szCs w:val="20"/>
          <w:lang w:val="en-GB" w:eastAsia="en-US"/>
        </w:rPr>
        <w:tab/>
      </w:r>
      <w:r w:rsidR="00633208" w:rsidRPr="004C579A">
        <w:rPr>
          <w:rFonts w:ascii="Arial" w:eastAsia="新細明體" w:hAnsi="Arial" w:cs="Arial"/>
          <w:color w:val="000000" w:themeColor="text1"/>
          <w:sz w:val="36"/>
          <w:szCs w:val="20"/>
          <w:lang w:val="en-GB" w:eastAsia="zh-TW"/>
        </w:rPr>
        <w:t>Summary</w:t>
      </w:r>
    </w:p>
    <w:p w14:paraId="496E7626" w14:textId="77777777" w:rsidR="00633208" w:rsidRPr="004C579A" w:rsidRDefault="00633208" w:rsidP="00633208">
      <w:pPr>
        <w:keepNext/>
        <w:keepLines/>
        <w:spacing w:line="256" w:lineRule="auto"/>
        <w:jc w:val="both"/>
        <w:rPr>
          <w:rFonts w:ascii="Arial" w:eastAsia="新細明體" w:hAnsi="Arial" w:cs="Arial"/>
          <w:sz w:val="24"/>
        </w:rPr>
      </w:pPr>
      <w:r w:rsidRPr="004C579A">
        <w:rPr>
          <w:rFonts w:ascii="Arial" w:eastAsia="新細明體" w:hAnsi="Arial" w:cs="Arial"/>
          <w:sz w:val="24"/>
        </w:rPr>
        <w:t>In this contribution, we have following observations</w:t>
      </w:r>
    </w:p>
    <w:p w14:paraId="2DB7654D" w14:textId="26AC556D" w:rsidR="00633208" w:rsidRPr="004C579A" w:rsidRDefault="00C90C90" w:rsidP="00633208">
      <w:pPr>
        <w:keepNext/>
        <w:keepLines/>
        <w:spacing w:line="256" w:lineRule="auto"/>
        <w:rPr>
          <w:rFonts w:ascii="Arial" w:eastAsia="新細明體" w:hAnsi="Arial" w:cs="Arial"/>
          <w:b/>
          <w:i/>
        </w:rPr>
      </w:pPr>
      <w:r w:rsidRPr="004C579A">
        <w:rPr>
          <w:rFonts w:ascii="Arial" w:eastAsia="新細明體" w:hAnsi="Arial" w:cs="Arial"/>
          <w:b/>
          <w:i/>
        </w:rPr>
        <w:fldChar w:fldCharType="begin"/>
      </w:r>
      <w:r w:rsidRPr="004C579A">
        <w:rPr>
          <w:rFonts w:ascii="Arial" w:eastAsia="新細明體" w:hAnsi="Arial" w:cs="Arial"/>
          <w:b/>
          <w:i/>
        </w:rPr>
        <w:instrText xml:space="preserve"> REF _Ref135056503 \h  \* MERGEFORMAT </w:instrText>
      </w:r>
      <w:r w:rsidRPr="004C579A">
        <w:rPr>
          <w:rFonts w:ascii="Arial" w:eastAsia="新細明體" w:hAnsi="Arial" w:cs="Arial"/>
          <w:b/>
          <w:i/>
        </w:rPr>
      </w:r>
      <w:r w:rsidRPr="004C579A">
        <w:rPr>
          <w:rFonts w:ascii="Arial" w:eastAsia="新細明體" w:hAnsi="Arial" w:cs="Arial"/>
          <w:b/>
          <w:i/>
        </w:rPr>
        <w:fldChar w:fldCharType="separate"/>
      </w:r>
      <w:r w:rsidR="004C579A" w:rsidRPr="004C579A">
        <w:rPr>
          <w:rFonts w:ascii="Arial" w:eastAsia="新細明體" w:hAnsi="Arial" w:cs="Arial"/>
          <w:b/>
          <w:i/>
        </w:rPr>
        <w:t>Observation 1: Association of existing TAG ID for serving cell and candidate cell is not needed in the configuration for candidate cell(s).</w:t>
      </w:r>
      <w:r w:rsidRPr="004C579A">
        <w:rPr>
          <w:rFonts w:ascii="Arial" w:eastAsia="新細明體" w:hAnsi="Arial" w:cs="Arial"/>
          <w:b/>
          <w:i/>
        </w:rPr>
        <w:fldChar w:fldCharType="end"/>
      </w:r>
      <w:r w:rsidRPr="004C579A">
        <w:rPr>
          <w:rFonts w:ascii="Arial" w:eastAsia="新細明體" w:hAnsi="Arial" w:cs="Arial"/>
          <w:b/>
          <w:i/>
        </w:rPr>
        <w:t xml:space="preserve"> </w:t>
      </w:r>
    </w:p>
    <w:p w14:paraId="6FB5F81D" w14:textId="77777777" w:rsidR="00633208" w:rsidRPr="004C579A" w:rsidRDefault="00633208" w:rsidP="00633208">
      <w:pPr>
        <w:keepNext/>
        <w:keepLines/>
        <w:spacing w:line="256" w:lineRule="auto"/>
        <w:rPr>
          <w:rFonts w:ascii="Arial" w:eastAsia="新細明體" w:hAnsi="Arial" w:cs="Arial"/>
          <w:sz w:val="24"/>
        </w:rPr>
      </w:pPr>
    </w:p>
    <w:p w14:paraId="32FC52C4" w14:textId="77777777" w:rsidR="00633208" w:rsidRPr="004C579A" w:rsidRDefault="00633208" w:rsidP="00633208">
      <w:pPr>
        <w:keepNext/>
        <w:keepLines/>
        <w:spacing w:line="256" w:lineRule="auto"/>
        <w:rPr>
          <w:rFonts w:ascii="Arial" w:eastAsia="新細明體" w:hAnsi="Arial" w:cs="Arial"/>
          <w:b/>
          <w:i/>
        </w:rPr>
      </w:pPr>
      <w:r w:rsidRPr="004C579A">
        <w:rPr>
          <w:rFonts w:ascii="Arial" w:eastAsia="新細明體" w:hAnsi="Arial" w:cs="Arial"/>
          <w:sz w:val="24"/>
        </w:rPr>
        <w:t>and we propose</w:t>
      </w:r>
    </w:p>
    <w:p w14:paraId="4DBCF609" w14:textId="087F8A2F" w:rsidR="00C90C90" w:rsidRPr="004C579A" w:rsidRDefault="00C90C90" w:rsidP="00633208">
      <w:pPr>
        <w:keepNext/>
        <w:keepLines/>
        <w:spacing w:line="256" w:lineRule="auto"/>
        <w:rPr>
          <w:rFonts w:ascii="Arial" w:eastAsia="SimSun" w:hAnsi="Arial" w:cs="Arial"/>
          <w:b/>
          <w:i/>
        </w:rPr>
      </w:pPr>
      <w:r w:rsidRPr="004C579A">
        <w:rPr>
          <w:rFonts w:ascii="Arial" w:eastAsia="SimSun" w:hAnsi="Arial" w:cs="Arial"/>
          <w:b/>
          <w:i/>
        </w:rPr>
        <w:fldChar w:fldCharType="begin"/>
      </w:r>
      <w:r w:rsidRPr="004C579A">
        <w:rPr>
          <w:rFonts w:ascii="Arial" w:eastAsia="SimSun" w:hAnsi="Arial" w:cs="Arial"/>
          <w:b/>
          <w:i/>
        </w:rPr>
        <w:instrText xml:space="preserve"> REF _Ref135056565 \h  \* MERGEFORMAT </w:instrText>
      </w:r>
      <w:r w:rsidRPr="004C579A">
        <w:rPr>
          <w:rFonts w:ascii="Arial" w:eastAsia="SimSun" w:hAnsi="Arial" w:cs="Arial"/>
          <w:b/>
          <w:i/>
        </w:rPr>
      </w:r>
      <w:r w:rsidRPr="004C579A">
        <w:rPr>
          <w:rFonts w:ascii="Arial" w:eastAsia="SimSun" w:hAnsi="Arial" w:cs="Arial"/>
          <w:b/>
          <w:i/>
        </w:rPr>
        <w:fldChar w:fldCharType="separate"/>
      </w:r>
      <w:r w:rsidR="004C579A" w:rsidRPr="004C579A">
        <w:rPr>
          <w:rFonts w:ascii="Arial" w:eastAsia="SimSun" w:hAnsi="Arial" w:cs="Arial"/>
          <w:b/>
          <w:i/>
        </w:rPr>
        <w:t>Proposal 1: Supporting of RAR-less PDCCH ordered RACH procedure is the baseline UE approach for LTM</w:t>
      </w:r>
      <w:r w:rsidRPr="004C579A">
        <w:rPr>
          <w:rFonts w:ascii="Arial" w:eastAsia="SimSun" w:hAnsi="Arial" w:cs="Arial"/>
          <w:b/>
          <w:i/>
        </w:rPr>
        <w:fldChar w:fldCharType="end"/>
      </w:r>
    </w:p>
    <w:p w14:paraId="1DEC662F" w14:textId="017A02FD" w:rsidR="00C90C90" w:rsidRPr="004C579A" w:rsidRDefault="00C90C90" w:rsidP="00633208">
      <w:pPr>
        <w:keepNext/>
        <w:keepLines/>
        <w:spacing w:line="256" w:lineRule="auto"/>
        <w:rPr>
          <w:rFonts w:ascii="Arial" w:eastAsia="SimSun" w:hAnsi="Arial" w:cs="Arial"/>
          <w:b/>
          <w:i/>
        </w:rPr>
      </w:pPr>
      <w:r w:rsidRPr="004C579A">
        <w:rPr>
          <w:rFonts w:ascii="Arial" w:eastAsia="SimSun" w:hAnsi="Arial" w:cs="Arial"/>
          <w:b/>
          <w:i/>
        </w:rPr>
        <w:fldChar w:fldCharType="begin"/>
      </w:r>
      <w:r w:rsidRPr="004C579A">
        <w:rPr>
          <w:rFonts w:ascii="Arial" w:eastAsia="SimSun" w:hAnsi="Arial" w:cs="Arial"/>
          <w:b/>
          <w:i/>
        </w:rPr>
        <w:instrText xml:space="preserve"> REF _Ref135056567 \h  \* MERGEFORMAT </w:instrText>
      </w:r>
      <w:r w:rsidRPr="004C579A">
        <w:rPr>
          <w:rFonts w:ascii="Arial" w:eastAsia="SimSun" w:hAnsi="Arial" w:cs="Arial"/>
          <w:b/>
          <w:i/>
        </w:rPr>
      </w:r>
      <w:r w:rsidRPr="004C579A">
        <w:rPr>
          <w:rFonts w:ascii="Arial" w:eastAsia="SimSun" w:hAnsi="Arial" w:cs="Arial"/>
          <w:b/>
          <w:i/>
        </w:rPr>
        <w:fldChar w:fldCharType="separate"/>
      </w:r>
      <w:r w:rsidR="004C579A" w:rsidRPr="004C579A">
        <w:rPr>
          <w:rFonts w:ascii="Arial" w:eastAsia="SimSun" w:hAnsi="Arial" w:cs="Arial"/>
          <w:b/>
          <w:i/>
        </w:rPr>
        <w:t>Proposal 2: The serving cell UL transmission and neighboring cell PRACH transmission should not overlap in time. If conflicts occur, the UE should maintain the serving cell UL transmission and cancel the PRACH transmission to neighboring cell(s</w:t>
      </w:r>
      <w:r w:rsidR="004C579A" w:rsidRPr="004C579A">
        <w:rPr>
          <w:rFonts w:ascii="Arial" w:hAnsi="Arial" w:cs="Arial"/>
          <w:i/>
        </w:rPr>
        <w:t>)</w:t>
      </w:r>
      <w:r w:rsidRPr="004C579A">
        <w:rPr>
          <w:rFonts w:ascii="Arial" w:eastAsia="SimSun" w:hAnsi="Arial" w:cs="Arial"/>
          <w:b/>
          <w:i/>
        </w:rPr>
        <w:fldChar w:fldCharType="end"/>
      </w:r>
    </w:p>
    <w:p w14:paraId="32B3ED46" w14:textId="63BA810F" w:rsidR="00C90C90" w:rsidRPr="004C579A" w:rsidRDefault="00C90C90" w:rsidP="00633208">
      <w:pPr>
        <w:keepNext/>
        <w:keepLines/>
        <w:spacing w:line="256" w:lineRule="auto"/>
        <w:rPr>
          <w:rFonts w:ascii="Arial" w:eastAsia="SimSun" w:hAnsi="Arial" w:cs="Arial"/>
          <w:b/>
          <w:i/>
        </w:rPr>
      </w:pPr>
      <w:r w:rsidRPr="004C579A">
        <w:rPr>
          <w:rFonts w:ascii="Arial" w:eastAsia="SimSun" w:hAnsi="Arial" w:cs="Arial"/>
          <w:b/>
          <w:i/>
        </w:rPr>
        <w:fldChar w:fldCharType="begin"/>
      </w:r>
      <w:r w:rsidRPr="004C579A">
        <w:rPr>
          <w:rFonts w:ascii="Arial" w:eastAsia="SimSun" w:hAnsi="Arial" w:cs="Arial"/>
          <w:b/>
          <w:i/>
        </w:rPr>
        <w:instrText xml:space="preserve"> REF _Ref135056570 \h  \* MERGEFORMAT </w:instrText>
      </w:r>
      <w:r w:rsidRPr="004C579A">
        <w:rPr>
          <w:rFonts w:ascii="Arial" w:eastAsia="SimSun" w:hAnsi="Arial" w:cs="Arial"/>
          <w:b/>
          <w:i/>
        </w:rPr>
      </w:r>
      <w:r w:rsidRPr="004C579A">
        <w:rPr>
          <w:rFonts w:ascii="Arial" w:eastAsia="SimSun" w:hAnsi="Arial" w:cs="Arial"/>
          <w:b/>
          <w:i/>
        </w:rPr>
        <w:fldChar w:fldCharType="separate"/>
      </w:r>
      <w:r w:rsidR="004C579A" w:rsidRPr="004C579A">
        <w:rPr>
          <w:rFonts w:ascii="Arial" w:eastAsia="SimSun" w:hAnsi="Arial" w:cs="Arial"/>
          <w:b/>
          <w:i/>
        </w:rPr>
        <w:t>Proposal 3: UE considers the first successfully decoded PDCCH order as an initial transmission. If the network indicates a power ramp, the initial transmission may ignore the indication and perform the power ramp the next time it transmits PRACH to the same target</w:t>
      </w:r>
      <w:r w:rsidRPr="004C579A">
        <w:rPr>
          <w:rFonts w:ascii="Arial" w:eastAsia="SimSun" w:hAnsi="Arial" w:cs="Arial"/>
          <w:b/>
          <w:i/>
        </w:rPr>
        <w:fldChar w:fldCharType="end"/>
      </w:r>
    </w:p>
    <w:p w14:paraId="05334955" w14:textId="62CF981F" w:rsidR="004C579A" w:rsidRPr="004C579A" w:rsidRDefault="00C90C90" w:rsidP="00633208">
      <w:pPr>
        <w:spacing w:line="256" w:lineRule="auto"/>
        <w:rPr>
          <w:rFonts w:ascii="Arial" w:eastAsia="SimSun" w:hAnsi="Arial" w:cs="Arial"/>
          <w:b/>
          <w:i/>
        </w:rPr>
      </w:pPr>
      <w:r w:rsidRPr="004C579A">
        <w:rPr>
          <w:rFonts w:ascii="Arial" w:eastAsia="新細明體" w:hAnsi="Arial" w:cs="Arial"/>
          <w:b/>
          <w:i/>
        </w:rPr>
        <w:fldChar w:fldCharType="begin"/>
      </w:r>
      <w:r w:rsidRPr="004C579A">
        <w:rPr>
          <w:rFonts w:ascii="Arial" w:eastAsia="新細明體" w:hAnsi="Arial" w:cs="Arial"/>
          <w:b/>
          <w:i/>
        </w:rPr>
        <w:instrText xml:space="preserve"> REF _Ref135056716 \h </w:instrText>
      </w:r>
      <w:r w:rsidRPr="004C579A">
        <w:rPr>
          <w:rFonts w:ascii="Arial" w:eastAsia="新細明體" w:hAnsi="Arial" w:cs="Arial"/>
          <w:b/>
          <w:i/>
        </w:rPr>
      </w:r>
      <w:r w:rsidR="004C579A">
        <w:rPr>
          <w:rFonts w:ascii="Arial" w:eastAsia="新細明體" w:hAnsi="Arial" w:cs="Arial"/>
          <w:b/>
          <w:i/>
        </w:rPr>
        <w:instrText xml:space="preserve"> \* MERGEFORMAT </w:instrText>
      </w:r>
      <w:r w:rsidRPr="004C579A">
        <w:rPr>
          <w:rFonts w:ascii="Arial" w:eastAsia="新細明體" w:hAnsi="Arial" w:cs="Arial"/>
          <w:b/>
          <w:i/>
        </w:rPr>
        <w:fldChar w:fldCharType="separate"/>
      </w:r>
      <w:r w:rsidR="004C579A" w:rsidRPr="004C579A">
        <w:rPr>
          <w:rFonts w:ascii="Arial" w:eastAsia="SimSun" w:hAnsi="Arial" w:cs="Arial"/>
          <w:b/>
          <w:i/>
        </w:rPr>
        <w:t xml:space="preserve">Proposal </w:t>
      </w:r>
      <w:r w:rsidR="004C579A" w:rsidRPr="004C579A">
        <w:rPr>
          <w:rFonts w:ascii="Arial" w:eastAsia="SimSun" w:hAnsi="Arial" w:cs="Arial"/>
          <w:b/>
          <w:i/>
          <w:noProof/>
        </w:rPr>
        <w:t>4</w:t>
      </w:r>
      <w:r w:rsidR="004C579A" w:rsidRPr="004C579A">
        <w:rPr>
          <w:rFonts w:ascii="Arial" w:eastAsia="SimSun" w:hAnsi="Arial" w:cs="Arial"/>
          <w:b/>
          <w:i/>
        </w:rPr>
        <w:t xml:space="preserve">: For PDCCH-ordered RACH for candidate cell(s), if reception of RAR is configured (with RAR), the content of RAR should include </w:t>
      </w:r>
    </w:p>
    <w:p w14:paraId="1B90EB2B" w14:textId="77777777" w:rsidR="004C579A" w:rsidRPr="004C579A" w:rsidRDefault="004C579A" w:rsidP="00C90C90">
      <w:pPr>
        <w:pStyle w:val="ListParagraph"/>
        <w:numPr>
          <w:ilvl w:val="0"/>
          <w:numId w:val="23"/>
        </w:numPr>
        <w:spacing w:line="256" w:lineRule="auto"/>
        <w:rPr>
          <w:rFonts w:ascii="Arial" w:eastAsia="SimSun" w:hAnsi="Arial" w:cs="Arial"/>
          <w:b/>
          <w:i/>
        </w:rPr>
      </w:pPr>
      <w:r w:rsidRPr="004C579A">
        <w:rPr>
          <w:rFonts w:ascii="Arial" w:eastAsia="SimSun" w:hAnsi="Arial" w:cs="Arial"/>
          <w:b/>
          <w:i/>
        </w:rPr>
        <w:t xml:space="preserve">TA of candidate cell, </w:t>
      </w:r>
    </w:p>
    <w:p w14:paraId="187938EC" w14:textId="40461F31" w:rsidR="00C90C90" w:rsidRPr="004C579A" w:rsidRDefault="004C579A" w:rsidP="00C90C90">
      <w:pPr>
        <w:pStyle w:val="ListParagraph"/>
        <w:numPr>
          <w:ilvl w:val="0"/>
          <w:numId w:val="23"/>
        </w:numPr>
        <w:spacing w:line="256" w:lineRule="auto"/>
        <w:rPr>
          <w:rFonts w:ascii="Arial" w:eastAsia="SimSun" w:hAnsi="Arial" w:cs="Arial"/>
          <w:b/>
          <w:i/>
        </w:rPr>
      </w:pPr>
      <w:r w:rsidRPr="004C579A">
        <w:rPr>
          <w:rFonts w:ascii="Arial" w:eastAsia="SimSun" w:hAnsi="Arial" w:cs="Arial"/>
          <w:b/>
          <w:i/>
        </w:rPr>
        <w:lastRenderedPageBreak/>
        <w:t>explicit indication or implicit indication of candidate cell identify (can be cell ID or TCI state ID/index of activated TCI state)</w:t>
      </w:r>
      <w:r w:rsidR="00C90C90" w:rsidRPr="004C579A">
        <w:rPr>
          <w:rFonts w:ascii="Arial" w:eastAsia="新細明體" w:hAnsi="Arial" w:cs="Arial"/>
          <w:b/>
          <w:i/>
        </w:rPr>
        <w:fldChar w:fldCharType="end"/>
      </w:r>
    </w:p>
    <w:p w14:paraId="5EABFBEA" w14:textId="7382C626" w:rsidR="00C90C90" w:rsidRPr="004C579A" w:rsidRDefault="00C90C90" w:rsidP="00633208">
      <w:pPr>
        <w:keepNext/>
        <w:keepLines/>
        <w:spacing w:line="256" w:lineRule="auto"/>
        <w:rPr>
          <w:rFonts w:ascii="Arial" w:eastAsia="SimSun" w:hAnsi="Arial" w:cs="Arial"/>
          <w:b/>
          <w:i/>
        </w:rPr>
      </w:pPr>
      <w:r w:rsidRPr="004C579A">
        <w:rPr>
          <w:rFonts w:ascii="Arial" w:eastAsia="SimSun" w:hAnsi="Arial" w:cs="Arial"/>
          <w:b/>
          <w:i/>
        </w:rPr>
        <w:fldChar w:fldCharType="begin"/>
      </w:r>
      <w:r w:rsidRPr="004C579A">
        <w:rPr>
          <w:rFonts w:ascii="Arial" w:eastAsia="SimSun" w:hAnsi="Arial" w:cs="Arial"/>
          <w:b/>
          <w:i/>
        </w:rPr>
        <w:instrText xml:space="preserve"> REF _Ref135056573 \h  \* MERGEFORMAT </w:instrText>
      </w:r>
      <w:r w:rsidRPr="004C579A">
        <w:rPr>
          <w:rFonts w:ascii="Arial" w:eastAsia="SimSun" w:hAnsi="Arial" w:cs="Arial"/>
          <w:b/>
          <w:i/>
        </w:rPr>
      </w:r>
      <w:r w:rsidRPr="004C579A">
        <w:rPr>
          <w:rFonts w:ascii="Arial" w:eastAsia="SimSun" w:hAnsi="Arial" w:cs="Arial"/>
          <w:b/>
          <w:i/>
        </w:rPr>
        <w:fldChar w:fldCharType="separate"/>
      </w:r>
      <w:r w:rsidR="004C579A" w:rsidRPr="004C579A">
        <w:rPr>
          <w:rFonts w:ascii="Arial" w:eastAsia="SimSun" w:hAnsi="Arial" w:cs="Arial"/>
          <w:b/>
          <w:i/>
        </w:rPr>
        <w:t>Proposal 5: Up to two TAs can be supported per candidate cell for Rel-18 LTM</w:t>
      </w:r>
      <w:r w:rsidRPr="004C579A">
        <w:rPr>
          <w:rFonts w:ascii="Arial" w:eastAsia="SimSun" w:hAnsi="Arial" w:cs="Arial"/>
          <w:b/>
          <w:i/>
        </w:rPr>
        <w:fldChar w:fldCharType="end"/>
      </w:r>
    </w:p>
    <w:p w14:paraId="49309700" w14:textId="77777777" w:rsidR="004C579A" w:rsidRPr="004C579A" w:rsidRDefault="00C90C90" w:rsidP="004C579A">
      <w:pPr>
        <w:keepNext/>
        <w:keepLines/>
        <w:spacing w:line="256" w:lineRule="auto"/>
        <w:rPr>
          <w:rFonts w:ascii="Arial" w:eastAsia="SimSun" w:hAnsi="Arial" w:cs="Arial"/>
          <w:b/>
          <w:i/>
        </w:rPr>
      </w:pPr>
      <w:r w:rsidRPr="004C579A">
        <w:rPr>
          <w:rFonts w:ascii="Arial" w:eastAsia="SimSun" w:hAnsi="Arial" w:cs="Arial"/>
          <w:b/>
          <w:i/>
        </w:rPr>
        <w:fldChar w:fldCharType="begin"/>
      </w:r>
      <w:r w:rsidRPr="004C579A">
        <w:rPr>
          <w:rFonts w:ascii="Arial" w:eastAsia="SimSun" w:hAnsi="Arial" w:cs="Arial"/>
          <w:b/>
          <w:i/>
        </w:rPr>
        <w:instrText xml:space="preserve"> REF _Ref135056576 \h  \* MERGEFORMAT </w:instrText>
      </w:r>
      <w:r w:rsidRPr="004C579A">
        <w:rPr>
          <w:rFonts w:ascii="Arial" w:eastAsia="SimSun" w:hAnsi="Arial" w:cs="Arial"/>
          <w:b/>
          <w:i/>
        </w:rPr>
      </w:r>
      <w:r w:rsidRPr="004C579A">
        <w:rPr>
          <w:rFonts w:ascii="Arial" w:eastAsia="SimSun" w:hAnsi="Arial" w:cs="Arial"/>
          <w:b/>
          <w:i/>
        </w:rPr>
        <w:fldChar w:fldCharType="separate"/>
      </w:r>
      <w:r w:rsidR="004C579A" w:rsidRPr="004C579A">
        <w:rPr>
          <w:rFonts w:ascii="Arial" w:eastAsia="SimSun" w:hAnsi="Arial" w:cs="Arial"/>
          <w:b/>
          <w:i/>
        </w:rPr>
        <w:t xml:space="preserve">Proposal 6: UE-based TA measurement can only be agreed upon if </w:t>
      </w:r>
    </w:p>
    <w:p w14:paraId="681DC6D2" w14:textId="77777777" w:rsidR="004C579A" w:rsidRPr="004C579A" w:rsidRDefault="004C579A" w:rsidP="004C579A">
      <w:pPr>
        <w:pStyle w:val="ListParagraph"/>
        <w:keepNext/>
        <w:keepLines/>
        <w:numPr>
          <w:ilvl w:val="0"/>
          <w:numId w:val="25"/>
        </w:numPr>
        <w:spacing w:line="256" w:lineRule="auto"/>
        <w:rPr>
          <w:rFonts w:ascii="Arial" w:eastAsia="SimSun" w:hAnsi="Arial" w:cs="Arial"/>
          <w:b/>
          <w:i/>
        </w:rPr>
      </w:pPr>
      <w:r w:rsidRPr="004C579A">
        <w:rPr>
          <w:rFonts w:ascii="Arial" w:eastAsia="SimSun" w:hAnsi="Arial" w:cs="Arial"/>
          <w:b/>
          <w:i/>
        </w:rPr>
        <w:t xml:space="preserve">the network can guarantee that the clock error between 2 cells is less than X nanoseconds, where value of x is FFS, and </w:t>
      </w:r>
    </w:p>
    <w:p w14:paraId="1EF54E82" w14:textId="05168A72" w:rsidR="00633208" w:rsidRPr="004C579A" w:rsidRDefault="004C579A" w:rsidP="00C90C90">
      <w:pPr>
        <w:pStyle w:val="ListParagraph"/>
        <w:keepNext/>
        <w:keepLines/>
        <w:numPr>
          <w:ilvl w:val="0"/>
          <w:numId w:val="25"/>
        </w:numPr>
        <w:spacing w:line="256" w:lineRule="auto"/>
        <w:rPr>
          <w:rFonts w:ascii="Arial" w:eastAsia="SimSun" w:hAnsi="Arial" w:cs="Arial"/>
          <w:b/>
          <w:i/>
        </w:rPr>
      </w:pPr>
      <w:r w:rsidRPr="004C579A">
        <w:rPr>
          <w:rFonts w:ascii="Arial" w:eastAsia="SimSun" w:hAnsi="Arial" w:cs="Arial"/>
          <w:b/>
          <w:i/>
        </w:rPr>
        <w:t xml:space="preserve">the network can inform UE of the timing different (including the clock error) between cells y, allowing UE to derive neighboring cell’s TA by itself (no need for PRACH transmission toward neighboring </w:t>
      </w:r>
      <w:r w:rsidRPr="004C579A">
        <w:rPr>
          <w:rFonts w:ascii="Arial" w:hAnsi="Arial" w:cs="Arial"/>
          <w:b/>
          <w:i/>
        </w:rPr>
        <w:t>cell)</w:t>
      </w:r>
      <w:r w:rsidR="00C90C90" w:rsidRPr="004C579A">
        <w:rPr>
          <w:rFonts w:ascii="Arial" w:eastAsia="SimSun" w:hAnsi="Arial" w:cs="Arial"/>
          <w:b/>
          <w:i/>
        </w:rPr>
        <w:fldChar w:fldCharType="end"/>
      </w:r>
    </w:p>
    <w:p w14:paraId="43D18454" w14:textId="77777777" w:rsidR="00633208" w:rsidRPr="004C579A" w:rsidRDefault="00633208" w:rsidP="00633208">
      <w:pPr>
        <w:keepNext/>
        <w:keepLines/>
        <w:pBdr>
          <w:top w:val="single" w:sz="12" w:space="3" w:color="auto"/>
        </w:pBdr>
        <w:overflowPunct w:val="0"/>
        <w:autoSpaceDE w:val="0"/>
        <w:autoSpaceDN w:val="0"/>
        <w:adjustRightInd w:val="0"/>
        <w:spacing w:before="240" w:after="180" w:line="240" w:lineRule="auto"/>
        <w:ind w:left="1134" w:hanging="1134"/>
        <w:jc w:val="both"/>
        <w:outlineLvl w:val="0"/>
        <w:rPr>
          <w:rFonts w:ascii="Arial" w:eastAsia="SimSun" w:hAnsi="Arial" w:cs="Arial"/>
          <w:color w:val="000000" w:themeColor="text1"/>
          <w:sz w:val="36"/>
          <w:szCs w:val="20"/>
          <w:lang w:val="en-GB" w:eastAsia="en-US"/>
        </w:rPr>
      </w:pPr>
      <w:r w:rsidRPr="004C579A">
        <w:rPr>
          <w:rFonts w:ascii="Arial" w:eastAsia="新細明體" w:hAnsi="Arial" w:cs="Arial"/>
          <w:color w:val="000000" w:themeColor="text1"/>
          <w:sz w:val="36"/>
          <w:szCs w:val="20"/>
          <w:lang w:val="en-GB" w:eastAsia="zh-TW"/>
        </w:rPr>
        <w:t>Reference</w:t>
      </w:r>
      <w:r w:rsidRPr="004C579A">
        <w:rPr>
          <w:rFonts w:ascii="Arial" w:eastAsia="SimSun" w:hAnsi="Arial" w:cs="Arial"/>
          <w:color w:val="000000" w:themeColor="text1"/>
          <w:sz w:val="36"/>
          <w:szCs w:val="20"/>
          <w:lang w:val="en-GB" w:eastAsia="en-US"/>
        </w:rPr>
        <w:t xml:space="preserve"> </w:t>
      </w:r>
    </w:p>
    <w:p w14:paraId="57CE5FB5" w14:textId="5DD91DCC" w:rsidR="00633208" w:rsidRPr="004C579A" w:rsidRDefault="00633208" w:rsidP="00633208">
      <w:pPr>
        <w:numPr>
          <w:ilvl w:val="0"/>
          <w:numId w:val="17"/>
        </w:numPr>
        <w:spacing w:line="256" w:lineRule="auto"/>
        <w:rPr>
          <w:rFonts w:ascii="Arial" w:eastAsia="新細明體" w:hAnsi="Arial" w:cs="Arial"/>
        </w:rPr>
      </w:pPr>
      <w:bookmarkStart w:id="18" w:name="_Ref115359201"/>
      <w:r w:rsidRPr="004C579A">
        <w:rPr>
          <w:rFonts w:ascii="Arial" w:eastAsia="新細明體" w:hAnsi="Arial" w:cs="Arial"/>
        </w:rPr>
        <w:t>3GPP TSG-RAN WG1 Meeting #112 Bis Chairman Notes, Apr., 2023.</w:t>
      </w:r>
      <w:bookmarkEnd w:id="18"/>
    </w:p>
    <w:p w14:paraId="650E5BFE" w14:textId="77777777" w:rsidR="008716D3" w:rsidRPr="004C579A" w:rsidRDefault="008716D3" w:rsidP="008716D3">
      <w:pPr>
        <w:rPr>
          <w:rFonts w:ascii="Arial" w:hAnsi="Arial" w:cs="Arial"/>
          <w:lang w:val="en-GB" w:eastAsia="zh-TW"/>
        </w:rPr>
      </w:pPr>
    </w:p>
    <w:bookmarkEnd w:id="0"/>
    <w:bookmarkEnd w:id="1"/>
    <w:p w14:paraId="3624D44D" w14:textId="5EFD8CD8" w:rsidR="0040469B" w:rsidRPr="004C579A" w:rsidRDefault="0040469B" w:rsidP="00FE0617">
      <w:pPr>
        <w:rPr>
          <w:rFonts w:ascii="Arial" w:hAnsi="Arial" w:cs="Arial"/>
        </w:rPr>
      </w:pPr>
    </w:p>
    <w:sectPr w:rsidR="0040469B" w:rsidRPr="004C579A"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AEAB0" w14:textId="77777777" w:rsidR="00C0515B" w:rsidRDefault="00C0515B">
      <w:r>
        <w:separator/>
      </w:r>
    </w:p>
  </w:endnote>
  <w:endnote w:type="continuationSeparator" w:id="0">
    <w:p w14:paraId="3A373327" w14:textId="77777777" w:rsidR="00C0515B" w:rsidRDefault="00C0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FB19D" w14:textId="77777777" w:rsidR="00C0515B" w:rsidRDefault="00C0515B">
      <w:r>
        <w:separator/>
      </w:r>
    </w:p>
  </w:footnote>
  <w:footnote w:type="continuationSeparator" w:id="0">
    <w:p w14:paraId="401B200E" w14:textId="77777777" w:rsidR="00C0515B" w:rsidRDefault="00C05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D0AAB"/>
    <w:multiLevelType w:val="hybridMultilevel"/>
    <w:tmpl w:val="E1040F34"/>
    <w:lvl w:ilvl="0" w:tplc="A3B4D744">
      <w:start w:val="1"/>
      <w:numFmt w:val="bullet"/>
      <w:lvlText w:val="-"/>
      <w:lvlJc w:val="left"/>
      <w:pPr>
        <w:tabs>
          <w:tab w:val="num" w:pos="720"/>
        </w:tabs>
        <w:ind w:left="720" w:hanging="360"/>
      </w:pPr>
      <w:rPr>
        <w:rFonts w:ascii="Arial" w:hAnsi="Arial" w:hint="default"/>
      </w:rPr>
    </w:lvl>
    <w:lvl w:ilvl="1" w:tplc="021C642E" w:tentative="1">
      <w:start w:val="1"/>
      <w:numFmt w:val="bullet"/>
      <w:lvlText w:val="-"/>
      <w:lvlJc w:val="left"/>
      <w:pPr>
        <w:tabs>
          <w:tab w:val="num" w:pos="1440"/>
        </w:tabs>
        <w:ind w:left="1440" w:hanging="360"/>
      </w:pPr>
      <w:rPr>
        <w:rFonts w:ascii="Arial" w:hAnsi="Arial" w:hint="default"/>
      </w:rPr>
    </w:lvl>
    <w:lvl w:ilvl="2" w:tplc="C3EAA0AA">
      <w:start w:val="1"/>
      <w:numFmt w:val="bullet"/>
      <w:lvlText w:val="-"/>
      <w:lvlJc w:val="left"/>
      <w:pPr>
        <w:tabs>
          <w:tab w:val="num" w:pos="2160"/>
        </w:tabs>
        <w:ind w:left="2160" w:hanging="360"/>
      </w:pPr>
      <w:rPr>
        <w:rFonts w:ascii="Arial" w:hAnsi="Arial" w:hint="default"/>
      </w:rPr>
    </w:lvl>
    <w:lvl w:ilvl="3" w:tplc="48FC3BF6" w:tentative="1">
      <w:start w:val="1"/>
      <w:numFmt w:val="bullet"/>
      <w:lvlText w:val="-"/>
      <w:lvlJc w:val="left"/>
      <w:pPr>
        <w:tabs>
          <w:tab w:val="num" w:pos="2880"/>
        </w:tabs>
        <w:ind w:left="2880" w:hanging="360"/>
      </w:pPr>
      <w:rPr>
        <w:rFonts w:ascii="Arial" w:hAnsi="Arial" w:hint="default"/>
      </w:rPr>
    </w:lvl>
    <w:lvl w:ilvl="4" w:tplc="ADC606B4" w:tentative="1">
      <w:start w:val="1"/>
      <w:numFmt w:val="bullet"/>
      <w:lvlText w:val="-"/>
      <w:lvlJc w:val="left"/>
      <w:pPr>
        <w:tabs>
          <w:tab w:val="num" w:pos="3600"/>
        </w:tabs>
        <w:ind w:left="3600" w:hanging="360"/>
      </w:pPr>
      <w:rPr>
        <w:rFonts w:ascii="Arial" w:hAnsi="Arial" w:hint="default"/>
      </w:rPr>
    </w:lvl>
    <w:lvl w:ilvl="5" w:tplc="9E3286F0" w:tentative="1">
      <w:start w:val="1"/>
      <w:numFmt w:val="bullet"/>
      <w:lvlText w:val="-"/>
      <w:lvlJc w:val="left"/>
      <w:pPr>
        <w:tabs>
          <w:tab w:val="num" w:pos="4320"/>
        </w:tabs>
        <w:ind w:left="4320" w:hanging="360"/>
      </w:pPr>
      <w:rPr>
        <w:rFonts w:ascii="Arial" w:hAnsi="Arial" w:hint="default"/>
      </w:rPr>
    </w:lvl>
    <w:lvl w:ilvl="6" w:tplc="42DA101A" w:tentative="1">
      <w:start w:val="1"/>
      <w:numFmt w:val="bullet"/>
      <w:lvlText w:val="-"/>
      <w:lvlJc w:val="left"/>
      <w:pPr>
        <w:tabs>
          <w:tab w:val="num" w:pos="5040"/>
        </w:tabs>
        <w:ind w:left="5040" w:hanging="360"/>
      </w:pPr>
      <w:rPr>
        <w:rFonts w:ascii="Arial" w:hAnsi="Arial" w:hint="default"/>
      </w:rPr>
    </w:lvl>
    <w:lvl w:ilvl="7" w:tplc="FF2E5102" w:tentative="1">
      <w:start w:val="1"/>
      <w:numFmt w:val="bullet"/>
      <w:lvlText w:val="-"/>
      <w:lvlJc w:val="left"/>
      <w:pPr>
        <w:tabs>
          <w:tab w:val="num" w:pos="5760"/>
        </w:tabs>
        <w:ind w:left="5760" w:hanging="360"/>
      </w:pPr>
      <w:rPr>
        <w:rFonts w:ascii="Arial" w:hAnsi="Arial" w:hint="default"/>
      </w:rPr>
    </w:lvl>
    <w:lvl w:ilvl="8" w:tplc="4FC0D3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106AF"/>
    <w:multiLevelType w:val="hybridMultilevel"/>
    <w:tmpl w:val="419A345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72EEA"/>
    <w:multiLevelType w:val="hybridMultilevel"/>
    <w:tmpl w:val="5C9E92BA"/>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36BC3"/>
    <w:multiLevelType w:val="hybridMultilevel"/>
    <w:tmpl w:val="BFAA4EB2"/>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603B7"/>
    <w:multiLevelType w:val="hybridMultilevel"/>
    <w:tmpl w:val="74D8EEFA"/>
    <w:lvl w:ilvl="0" w:tplc="8EE2FECC">
      <w:start w:val="1"/>
      <w:numFmt w:val="bullet"/>
      <w:lvlText w:val="•"/>
      <w:lvlJc w:val="left"/>
      <w:pPr>
        <w:tabs>
          <w:tab w:val="num" w:pos="360"/>
        </w:tabs>
        <w:ind w:left="360" w:hanging="360"/>
      </w:pPr>
      <w:rPr>
        <w:rFonts w:ascii="Arial" w:hAnsi="Arial" w:hint="default"/>
      </w:rPr>
    </w:lvl>
    <w:lvl w:ilvl="1" w:tplc="858A9CE2">
      <w:start w:val="1142"/>
      <w:numFmt w:val="bullet"/>
      <w:lvlText w:val="–"/>
      <w:lvlJc w:val="left"/>
      <w:pPr>
        <w:tabs>
          <w:tab w:val="num" w:pos="1080"/>
        </w:tabs>
        <w:ind w:left="1080" w:hanging="360"/>
      </w:pPr>
      <w:rPr>
        <w:rFonts w:ascii="Calibri Light" w:hAnsi="Calibri Light" w:hint="default"/>
      </w:rPr>
    </w:lvl>
    <w:lvl w:ilvl="2" w:tplc="37705210">
      <w:start w:val="1"/>
      <w:numFmt w:val="bullet"/>
      <w:lvlText w:val="•"/>
      <w:lvlJc w:val="left"/>
      <w:pPr>
        <w:tabs>
          <w:tab w:val="num" w:pos="1800"/>
        </w:tabs>
        <w:ind w:left="1800" w:hanging="360"/>
      </w:pPr>
      <w:rPr>
        <w:rFonts w:ascii="Arial" w:hAnsi="Arial" w:hint="default"/>
      </w:rPr>
    </w:lvl>
    <w:lvl w:ilvl="3" w:tplc="BB2E7706">
      <w:start w:val="1"/>
      <w:numFmt w:val="bullet"/>
      <w:lvlText w:val="•"/>
      <w:lvlJc w:val="left"/>
      <w:pPr>
        <w:tabs>
          <w:tab w:val="num" w:pos="2520"/>
        </w:tabs>
        <w:ind w:left="2520" w:hanging="360"/>
      </w:pPr>
      <w:rPr>
        <w:rFonts w:ascii="Arial" w:hAnsi="Arial" w:hint="default"/>
      </w:rPr>
    </w:lvl>
    <w:lvl w:ilvl="4" w:tplc="A564569C" w:tentative="1">
      <w:start w:val="1"/>
      <w:numFmt w:val="bullet"/>
      <w:lvlText w:val="•"/>
      <w:lvlJc w:val="left"/>
      <w:pPr>
        <w:tabs>
          <w:tab w:val="num" w:pos="3240"/>
        </w:tabs>
        <w:ind w:left="3240" w:hanging="360"/>
      </w:pPr>
      <w:rPr>
        <w:rFonts w:ascii="Arial" w:hAnsi="Arial" w:hint="default"/>
      </w:rPr>
    </w:lvl>
    <w:lvl w:ilvl="5" w:tplc="28083D4E" w:tentative="1">
      <w:start w:val="1"/>
      <w:numFmt w:val="bullet"/>
      <w:lvlText w:val="•"/>
      <w:lvlJc w:val="left"/>
      <w:pPr>
        <w:tabs>
          <w:tab w:val="num" w:pos="3960"/>
        </w:tabs>
        <w:ind w:left="3960" w:hanging="360"/>
      </w:pPr>
      <w:rPr>
        <w:rFonts w:ascii="Arial" w:hAnsi="Arial" w:hint="default"/>
      </w:rPr>
    </w:lvl>
    <w:lvl w:ilvl="6" w:tplc="4FD4020C" w:tentative="1">
      <w:start w:val="1"/>
      <w:numFmt w:val="bullet"/>
      <w:lvlText w:val="•"/>
      <w:lvlJc w:val="left"/>
      <w:pPr>
        <w:tabs>
          <w:tab w:val="num" w:pos="4680"/>
        </w:tabs>
        <w:ind w:left="4680" w:hanging="360"/>
      </w:pPr>
      <w:rPr>
        <w:rFonts w:ascii="Arial" w:hAnsi="Arial" w:hint="default"/>
      </w:rPr>
    </w:lvl>
    <w:lvl w:ilvl="7" w:tplc="F1E0DE10" w:tentative="1">
      <w:start w:val="1"/>
      <w:numFmt w:val="bullet"/>
      <w:lvlText w:val="•"/>
      <w:lvlJc w:val="left"/>
      <w:pPr>
        <w:tabs>
          <w:tab w:val="num" w:pos="5400"/>
        </w:tabs>
        <w:ind w:left="5400" w:hanging="360"/>
      </w:pPr>
      <w:rPr>
        <w:rFonts w:ascii="Arial" w:hAnsi="Arial" w:hint="default"/>
      </w:rPr>
    </w:lvl>
    <w:lvl w:ilvl="8" w:tplc="A2C879F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B157DCC"/>
    <w:multiLevelType w:val="hybridMultilevel"/>
    <w:tmpl w:val="9CBC410A"/>
    <w:lvl w:ilvl="0" w:tplc="8C7853B0">
      <w:start w:val="1"/>
      <w:numFmt w:val="bullet"/>
      <w:lvlText w:val="-"/>
      <w:lvlJc w:val="left"/>
      <w:pPr>
        <w:tabs>
          <w:tab w:val="num" w:pos="720"/>
        </w:tabs>
        <w:ind w:left="720" w:hanging="360"/>
      </w:pPr>
      <w:rPr>
        <w:rFonts w:ascii="Arial" w:hAnsi="Arial" w:hint="default"/>
      </w:rPr>
    </w:lvl>
    <w:lvl w:ilvl="1" w:tplc="0E320B1A" w:tentative="1">
      <w:start w:val="1"/>
      <w:numFmt w:val="bullet"/>
      <w:lvlText w:val="-"/>
      <w:lvlJc w:val="left"/>
      <w:pPr>
        <w:tabs>
          <w:tab w:val="num" w:pos="1440"/>
        </w:tabs>
        <w:ind w:left="1440" w:hanging="360"/>
      </w:pPr>
      <w:rPr>
        <w:rFonts w:ascii="Arial" w:hAnsi="Arial" w:hint="default"/>
      </w:rPr>
    </w:lvl>
    <w:lvl w:ilvl="2" w:tplc="38768260">
      <w:start w:val="1"/>
      <w:numFmt w:val="bullet"/>
      <w:lvlText w:val="-"/>
      <w:lvlJc w:val="left"/>
      <w:pPr>
        <w:tabs>
          <w:tab w:val="num" w:pos="2160"/>
        </w:tabs>
        <w:ind w:left="2160" w:hanging="360"/>
      </w:pPr>
      <w:rPr>
        <w:rFonts w:ascii="Arial" w:hAnsi="Arial" w:hint="default"/>
      </w:rPr>
    </w:lvl>
    <w:lvl w:ilvl="3" w:tplc="13748C48" w:tentative="1">
      <w:start w:val="1"/>
      <w:numFmt w:val="bullet"/>
      <w:lvlText w:val="-"/>
      <w:lvlJc w:val="left"/>
      <w:pPr>
        <w:tabs>
          <w:tab w:val="num" w:pos="2880"/>
        </w:tabs>
        <w:ind w:left="2880" w:hanging="360"/>
      </w:pPr>
      <w:rPr>
        <w:rFonts w:ascii="Arial" w:hAnsi="Arial" w:hint="default"/>
      </w:rPr>
    </w:lvl>
    <w:lvl w:ilvl="4" w:tplc="2D348876" w:tentative="1">
      <w:start w:val="1"/>
      <w:numFmt w:val="bullet"/>
      <w:lvlText w:val="-"/>
      <w:lvlJc w:val="left"/>
      <w:pPr>
        <w:tabs>
          <w:tab w:val="num" w:pos="3600"/>
        </w:tabs>
        <w:ind w:left="3600" w:hanging="360"/>
      </w:pPr>
      <w:rPr>
        <w:rFonts w:ascii="Arial" w:hAnsi="Arial" w:hint="default"/>
      </w:rPr>
    </w:lvl>
    <w:lvl w:ilvl="5" w:tplc="7F38E4BE" w:tentative="1">
      <w:start w:val="1"/>
      <w:numFmt w:val="bullet"/>
      <w:lvlText w:val="-"/>
      <w:lvlJc w:val="left"/>
      <w:pPr>
        <w:tabs>
          <w:tab w:val="num" w:pos="4320"/>
        </w:tabs>
        <w:ind w:left="4320" w:hanging="360"/>
      </w:pPr>
      <w:rPr>
        <w:rFonts w:ascii="Arial" w:hAnsi="Arial" w:hint="default"/>
      </w:rPr>
    </w:lvl>
    <w:lvl w:ilvl="6" w:tplc="CFFC8322" w:tentative="1">
      <w:start w:val="1"/>
      <w:numFmt w:val="bullet"/>
      <w:lvlText w:val="-"/>
      <w:lvlJc w:val="left"/>
      <w:pPr>
        <w:tabs>
          <w:tab w:val="num" w:pos="5040"/>
        </w:tabs>
        <w:ind w:left="5040" w:hanging="360"/>
      </w:pPr>
      <w:rPr>
        <w:rFonts w:ascii="Arial" w:hAnsi="Arial" w:hint="default"/>
      </w:rPr>
    </w:lvl>
    <w:lvl w:ilvl="7" w:tplc="2E68B7DA" w:tentative="1">
      <w:start w:val="1"/>
      <w:numFmt w:val="bullet"/>
      <w:lvlText w:val="-"/>
      <w:lvlJc w:val="left"/>
      <w:pPr>
        <w:tabs>
          <w:tab w:val="num" w:pos="5760"/>
        </w:tabs>
        <w:ind w:left="5760" w:hanging="360"/>
      </w:pPr>
      <w:rPr>
        <w:rFonts w:ascii="Arial" w:hAnsi="Arial" w:hint="default"/>
      </w:rPr>
    </w:lvl>
    <w:lvl w:ilvl="8" w:tplc="B6C67E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031AFB"/>
    <w:multiLevelType w:val="hybridMultilevel"/>
    <w:tmpl w:val="E10C4E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351E80"/>
    <w:multiLevelType w:val="hybridMultilevel"/>
    <w:tmpl w:val="968616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747422E"/>
    <w:multiLevelType w:val="hybridMultilevel"/>
    <w:tmpl w:val="23FE2148"/>
    <w:lvl w:ilvl="0" w:tplc="2BAE2CE6">
      <w:start w:val="1"/>
      <w:numFmt w:val="bullet"/>
      <w:lvlText w:val="•"/>
      <w:lvlJc w:val="left"/>
      <w:pPr>
        <w:tabs>
          <w:tab w:val="num" w:pos="720"/>
        </w:tabs>
        <w:ind w:left="720" w:hanging="360"/>
      </w:pPr>
      <w:rPr>
        <w:rFonts w:ascii="Arial" w:hAnsi="Arial" w:hint="default"/>
      </w:rPr>
    </w:lvl>
    <w:lvl w:ilvl="1" w:tplc="E962F75A" w:tentative="1">
      <w:start w:val="1"/>
      <w:numFmt w:val="bullet"/>
      <w:lvlText w:val="•"/>
      <w:lvlJc w:val="left"/>
      <w:pPr>
        <w:tabs>
          <w:tab w:val="num" w:pos="1440"/>
        </w:tabs>
        <w:ind w:left="1440" w:hanging="360"/>
      </w:pPr>
      <w:rPr>
        <w:rFonts w:ascii="Arial" w:hAnsi="Arial" w:hint="default"/>
      </w:rPr>
    </w:lvl>
    <w:lvl w:ilvl="2" w:tplc="E8882742" w:tentative="1">
      <w:start w:val="1"/>
      <w:numFmt w:val="bullet"/>
      <w:lvlText w:val="•"/>
      <w:lvlJc w:val="left"/>
      <w:pPr>
        <w:tabs>
          <w:tab w:val="num" w:pos="2160"/>
        </w:tabs>
        <w:ind w:left="2160" w:hanging="360"/>
      </w:pPr>
      <w:rPr>
        <w:rFonts w:ascii="Arial" w:hAnsi="Arial" w:hint="default"/>
      </w:rPr>
    </w:lvl>
    <w:lvl w:ilvl="3" w:tplc="741480DC" w:tentative="1">
      <w:start w:val="1"/>
      <w:numFmt w:val="bullet"/>
      <w:lvlText w:val="•"/>
      <w:lvlJc w:val="left"/>
      <w:pPr>
        <w:tabs>
          <w:tab w:val="num" w:pos="2880"/>
        </w:tabs>
        <w:ind w:left="2880" w:hanging="360"/>
      </w:pPr>
      <w:rPr>
        <w:rFonts w:ascii="Arial" w:hAnsi="Arial" w:hint="default"/>
      </w:rPr>
    </w:lvl>
    <w:lvl w:ilvl="4" w:tplc="053887D4" w:tentative="1">
      <w:start w:val="1"/>
      <w:numFmt w:val="bullet"/>
      <w:lvlText w:val="•"/>
      <w:lvlJc w:val="left"/>
      <w:pPr>
        <w:tabs>
          <w:tab w:val="num" w:pos="3600"/>
        </w:tabs>
        <w:ind w:left="3600" w:hanging="360"/>
      </w:pPr>
      <w:rPr>
        <w:rFonts w:ascii="Arial" w:hAnsi="Arial" w:hint="default"/>
      </w:rPr>
    </w:lvl>
    <w:lvl w:ilvl="5" w:tplc="4A702698" w:tentative="1">
      <w:start w:val="1"/>
      <w:numFmt w:val="bullet"/>
      <w:lvlText w:val="•"/>
      <w:lvlJc w:val="left"/>
      <w:pPr>
        <w:tabs>
          <w:tab w:val="num" w:pos="4320"/>
        </w:tabs>
        <w:ind w:left="4320" w:hanging="360"/>
      </w:pPr>
      <w:rPr>
        <w:rFonts w:ascii="Arial" w:hAnsi="Arial" w:hint="default"/>
      </w:rPr>
    </w:lvl>
    <w:lvl w:ilvl="6" w:tplc="08F4BEB6" w:tentative="1">
      <w:start w:val="1"/>
      <w:numFmt w:val="bullet"/>
      <w:lvlText w:val="•"/>
      <w:lvlJc w:val="left"/>
      <w:pPr>
        <w:tabs>
          <w:tab w:val="num" w:pos="5040"/>
        </w:tabs>
        <w:ind w:left="5040" w:hanging="360"/>
      </w:pPr>
      <w:rPr>
        <w:rFonts w:ascii="Arial" w:hAnsi="Arial" w:hint="default"/>
      </w:rPr>
    </w:lvl>
    <w:lvl w:ilvl="7" w:tplc="E23A4F50" w:tentative="1">
      <w:start w:val="1"/>
      <w:numFmt w:val="bullet"/>
      <w:lvlText w:val="•"/>
      <w:lvlJc w:val="left"/>
      <w:pPr>
        <w:tabs>
          <w:tab w:val="num" w:pos="5760"/>
        </w:tabs>
        <w:ind w:left="5760" w:hanging="360"/>
      </w:pPr>
      <w:rPr>
        <w:rFonts w:ascii="Arial" w:hAnsi="Arial" w:hint="default"/>
      </w:rPr>
    </w:lvl>
    <w:lvl w:ilvl="8" w:tplc="440837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9F488A"/>
    <w:multiLevelType w:val="hybridMultilevel"/>
    <w:tmpl w:val="49361A36"/>
    <w:lvl w:ilvl="0" w:tplc="E63E7170">
      <w:start w:val="1"/>
      <w:numFmt w:val="bullet"/>
      <w:lvlText w:val="•"/>
      <w:lvlJc w:val="left"/>
      <w:pPr>
        <w:tabs>
          <w:tab w:val="num" w:pos="720"/>
        </w:tabs>
        <w:ind w:left="720" w:hanging="360"/>
      </w:pPr>
      <w:rPr>
        <w:rFonts w:ascii="Arial" w:hAnsi="Arial" w:hint="default"/>
      </w:rPr>
    </w:lvl>
    <w:lvl w:ilvl="1" w:tplc="45DEC88C" w:tentative="1">
      <w:start w:val="1"/>
      <w:numFmt w:val="bullet"/>
      <w:lvlText w:val="•"/>
      <w:lvlJc w:val="left"/>
      <w:pPr>
        <w:tabs>
          <w:tab w:val="num" w:pos="1440"/>
        </w:tabs>
        <w:ind w:left="1440" w:hanging="360"/>
      </w:pPr>
      <w:rPr>
        <w:rFonts w:ascii="Arial" w:hAnsi="Arial" w:hint="default"/>
      </w:rPr>
    </w:lvl>
    <w:lvl w:ilvl="2" w:tplc="34B684E8">
      <w:start w:val="1"/>
      <w:numFmt w:val="bullet"/>
      <w:lvlText w:val="•"/>
      <w:lvlJc w:val="left"/>
      <w:pPr>
        <w:tabs>
          <w:tab w:val="num" w:pos="2160"/>
        </w:tabs>
        <w:ind w:left="2160" w:hanging="360"/>
      </w:pPr>
      <w:rPr>
        <w:rFonts w:ascii="Arial" w:hAnsi="Arial" w:hint="default"/>
      </w:rPr>
    </w:lvl>
    <w:lvl w:ilvl="3" w:tplc="5D808ABE" w:tentative="1">
      <w:start w:val="1"/>
      <w:numFmt w:val="bullet"/>
      <w:lvlText w:val="•"/>
      <w:lvlJc w:val="left"/>
      <w:pPr>
        <w:tabs>
          <w:tab w:val="num" w:pos="2880"/>
        </w:tabs>
        <w:ind w:left="2880" w:hanging="360"/>
      </w:pPr>
      <w:rPr>
        <w:rFonts w:ascii="Arial" w:hAnsi="Arial" w:hint="default"/>
      </w:rPr>
    </w:lvl>
    <w:lvl w:ilvl="4" w:tplc="2C201A76" w:tentative="1">
      <w:start w:val="1"/>
      <w:numFmt w:val="bullet"/>
      <w:lvlText w:val="•"/>
      <w:lvlJc w:val="left"/>
      <w:pPr>
        <w:tabs>
          <w:tab w:val="num" w:pos="3600"/>
        </w:tabs>
        <w:ind w:left="3600" w:hanging="360"/>
      </w:pPr>
      <w:rPr>
        <w:rFonts w:ascii="Arial" w:hAnsi="Arial" w:hint="default"/>
      </w:rPr>
    </w:lvl>
    <w:lvl w:ilvl="5" w:tplc="961ADB46" w:tentative="1">
      <w:start w:val="1"/>
      <w:numFmt w:val="bullet"/>
      <w:lvlText w:val="•"/>
      <w:lvlJc w:val="left"/>
      <w:pPr>
        <w:tabs>
          <w:tab w:val="num" w:pos="4320"/>
        </w:tabs>
        <w:ind w:left="4320" w:hanging="360"/>
      </w:pPr>
      <w:rPr>
        <w:rFonts w:ascii="Arial" w:hAnsi="Arial" w:hint="default"/>
      </w:rPr>
    </w:lvl>
    <w:lvl w:ilvl="6" w:tplc="AB543E9A" w:tentative="1">
      <w:start w:val="1"/>
      <w:numFmt w:val="bullet"/>
      <w:lvlText w:val="•"/>
      <w:lvlJc w:val="left"/>
      <w:pPr>
        <w:tabs>
          <w:tab w:val="num" w:pos="5040"/>
        </w:tabs>
        <w:ind w:left="5040" w:hanging="360"/>
      </w:pPr>
      <w:rPr>
        <w:rFonts w:ascii="Arial" w:hAnsi="Arial" w:hint="default"/>
      </w:rPr>
    </w:lvl>
    <w:lvl w:ilvl="7" w:tplc="1C648E3C" w:tentative="1">
      <w:start w:val="1"/>
      <w:numFmt w:val="bullet"/>
      <w:lvlText w:val="•"/>
      <w:lvlJc w:val="left"/>
      <w:pPr>
        <w:tabs>
          <w:tab w:val="num" w:pos="5760"/>
        </w:tabs>
        <w:ind w:left="5760" w:hanging="360"/>
      </w:pPr>
      <w:rPr>
        <w:rFonts w:ascii="Arial" w:hAnsi="Arial" w:hint="default"/>
      </w:rPr>
    </w:lvl>
    <w:lvl w:ilvl="8" w:tplc="158E48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146DC0"/>
    <w:multiLevelType w:val="hybridMultilevel"/>
    <w:tmpl w:val="14C29994"/>
    <w:lvl w:ilvl="0" w:tplc="0409000F">
      <w:start w:val="1"/>
      <w:numFmt w:val="decimal"/>
      <w:pStyle w:val="Agreement"/>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0FE2297"/>
    <w:multiLevelType w:val="hybridMultilevel"/>
    <w:tmpl w:val="E50C897A"/>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7A019EC"/>
    <w:multiLevelType w:val="hybridMultilevel"/>
    <w:tmpl w:val="4F98CD42"/>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B5124"/>
    <w:multiLevelType w:val="hybridMultilevel"/>
    <w:tmpl w:val="3DD0C3E2"/>
    <w:lvl w:ilvl="0" w:tplc="D78217E2">
      <w:start w:val="1"/>
      <w:numFmt w:val="bullet"/>
      <w:lvlText w:val="•"/>
      <w:lvlJc w:val="left"/>
      <w:pPr>
        <w:ind w:left="360" w:hanging="360"/>
      </w:pPr>
      <w:rPr>
        <w:rFonts w:ascii="Arial" w:hAnsi="Arial" w:hint="default"/>
        <w:strike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415C3C"/>
    <w:multiLevelType w:val="hybridMultilevel"/>
    <w:tmpl w:val="0CBAB6C0"/>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5B1FE5"/>
    <w:multiLevelType w:val="hybridMultilevel"/>
    <w:tmpl w:val="504CE448"/>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2A7F5F"/>
    <w:multiLevelType w:val="hybridMultilevel"/>
    <w:tmpl w:val="4A46E62C"/>
    <w:lvl w:ilvl="0" w:tplc="7E7CDC04">
      <w:start w:val="1"/>
      <w:numFmt w:val="bullet"/>
      <w:lvlText w:val=""/>
      <w:lvlJc w:val="left"/>
      <w:pPr>
        <w:ind w:left="827" w:hanging="360"/>
      </w:pPr>
      <w:rPr>
        <w:rFonts w:ascii="Symbol" w:hAnsi="Symbol" w:hint="default"/>
        <w:color w:val="auto"/>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abstractNumId w:val="9"/>
  </w:num>
  <w:num w:numId="2">
    <w:abstractNumId w:val="11"/>
  </w:num>
  <w:num w:numId="3">
    <w:abstractNumId w:val="8"/>
  </w:num>
  <w:num w:numId="4">
    <w:abstractNumId w:val="4"/>
  </w:num>
  <w:num w:numId="5">
    <w:abstractNumId w:val="2"/>
  </w:num>
  <w:num w:numId="6">
    <w:abstractNumId w:val="12"/>
  </w:num>
  <w:num w:numId="7">
    <w:abstractNumId w:val="18"/>
  </w:num>
  <w:num w:numId="8">
    <w:abstractNumId w:val="13"/>
  </w:num>
  <w:num w:numId="9">
    <w:abstractNumId w:val="6"/>
  </w:num>
  <w:num w:numId="10">
    <w:abstractNumId w:val="1"/>
  </w:num>
  <w:num w:numId="11">
    <w:abstractNumId w:val="7"/>
  </w:num>
  <w:num w:numId="12">
    <w:abstractNumId w:val="8"/>
  </w:num>
  <w:num w:numId="13">
    <w:abstractNumId w:val="4"/>
  </w:num>
  <w:num w:numId="14">
    <w:abstractNumId w:val="2"/>
  </w:num>
  <w:num w:numId="15">
    <w:abstractNumId w:val="18"/>
  </w:num>
  <w:num w:numId="16">
    <w:abstractNumId w:val="1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5"/>
  </w:num>
  <w:num w:numId="21">
    <w:abstractNumId w:val="0"/>
  </w:num>
  <w:num w:numId="22">
    <w:abstractNumId w:val="3"/>
  </w:num>
  <w:num w:numId="23">
    <w:abstractNumId w:val="16"/>
  </w:num>
  <w:num w:numId="24">
    <w:abstractNumId w:val="14"/>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22F"/>
    <w:rsid w:val="000123DE"/>
    <w:rsid w:val="0001309F"/>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18E"/>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8DF"/>
    <w:rsid w:val="000569CE"/>
    <w:rsid w:val="00056C39"/>
    <w:rsid w:val="00057157"/>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3EE"/>
    <w:rsid w:val="00080592"/>
    <w:rsid w:val="000808A6"/>
    <w:rsid w:val="00080F6F"/>
    <w:rsid w:val="00081521"/>
    <w:rsid w:val="00081AF1"/>
    <w:rsid w:val="00081B22"/>
    <w:rsid w:val="00081C3A"/>
    <w:rsid w:val="000821FF"/>
    <w:rsid w:val="00082B7E"/>
    <w:rsid w:val="00083172"/>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575"/>
    <w:rsid w:val="00091F15"/>
    <w:rsid w:val="00092716"/>
    <w:rsid w:val="00092EE2"/>
    <w:rsid w:val="0009343C"/>
    <w:rsid w:val="00093695"/>
    <w:rsid w:val="0009370B"/>
    <w:rsid w:val="00093DEF"/>
    <w:rsid w:val="000955A2"/>
    <w:rsid w:val="00095695"/>
    <w:rsid w:val="00095803"/>
    <w:rsid w:val="000962CB"/>
    <w:rsid w:val="000965C5"/>
    <w:rsid w:val="00096832"/>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3ED"/>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12"/>
    <w:rsid w:val="000C328C"/>
    <w:rsid w:val="000C333F"/>
    <w:rsid w:val="000C395F"/>
    <w:rsid w:val="000C3BA5"/>
    <w:rsid w:val="000C3DC5"/>
    <w:rsid w:val="000C4534"/>
    <w:rsid w:val="000C4DE9"/>
    <w:rsid w:val="000C513B"/>
    <w:rsid w:val="000C51E2"/>
    <w:rsid w:val="000C5555"/>
    <w:rsid w:val="000C55B8"/>
    <w:rsid w:val="000C590F"/>
    <w:rsid w:val="000C5A67"/>
    <w:rsid w:val="000C64BB"/>
    <w:rsid w:val="000C64C3"/>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D16"/>
    <w:rsid w:val="000F7F8F"/>
    <w:rsid w:val="001003B9"/>
    <w:rsid w:val="00101475"/>
    <w:rsid w:val="00102449"/>
    <w:rsid w:val="00102895"/>
    <w:rsid w:val="00102A61"/>
    <w:rsid w:val="00103677"/>
    <w:rsid w:val="001036D0"/>
    <w:rsid w:val="00103B92"/>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252"/>
    <w:rsid w:val="001273A9"/>
    <w:rsid w:val="001276B0"/>
    <w:rsid w:val="00127A0A"/>
    <w:rsid w:val="00127A36"/>
    <w:rsid w:val="00127D01"/>
    <w:rsid w:val="00130026"/>
    <w:rsid w:val="001308F2"/>
    <w:rsid w:val="00130B0E"/>
    <w:rsid w:val="00131482"/>
    <w:rsid w:val="00131550"/>
    <w:rsid w:val="0013183A"/>
    <w:rsid w:val="00131C8F"/>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3DE"/>
    <w:rsid w:val="00146A8E"/>
    <w:rsid w:val="00146BB4"/>
    <w:rsid w:val="00146EC3"/>
    <w:rsid w:val="001477AF"/>
    <w:rsid w:val="0015087F"/>
    <w:rsid w:val="00150DC4"/>
    <w:rsid w:val="00151039"/>
    <w:rsid w:val="0015103B"/>
    <w:rsid w:val="00151870"/>
    <w:rsid w:val="00151D60"/>
    <w:rsid w:val="0015216A"/>
    <w:rsid w:val="0015297F"/>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694D"/>
    <w:rsid w:val="00156CB0"/>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A5D"/>
    <w:rsid w:val="00184C12"/>
    <w:rsid w:val="00184C73"/>
    <w:rsid w:val="00184F97"/>
    <w:rsid w:val="001850B7"/>
    <w:rsid w:val="001850E5"/>
    <w:rsid w:val="00185284"/>
    <w:rsid w:val="0018571A"/>
    <w:rsid w:val="0018578F"/>
    <w:rsid w:val="00185A0A"/>
    <w:rsid w:val="00186AD6"/>
    <w:rsid w:val="00186D2E"/>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510"/>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8C9"/>
    <w:rsid w:val="001C5DF9"/>
    <w:rsid w:val="001C5E7D"/>
    <w:rsid w:val="001C5FCE"/>
    <w:rsid w:val="001C60A5"/>
    <w:rsid w:val="001C638B"/>
    <w:rsid w:val="001C6A2E"/>
    <w:rsid w:val="001C74BC"/>
    <w:rsid w:val="001C7FC4"/>
    <w:rsid w:val="001D0567"/>
    <w:rsid w:val="001D0729"/>
    <w:rsid w:val="001D0867"/>
    <w:rsid w:val="001D0AEE"/>
    <w:rsid w:val="001D10EA"/>
    <w:rsid w:val="001D1B94"/>
    <w:rsid w:val="001D1DD8"/>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4F84"/>
    <w:rsid w:val="001E5229"/>
    <w:rsid w:val="001E5776"/>
    <w:rsid w:val="001E6908"/>
    <w:rsid w:val="001E743E"/>
    <w:rsid w:val="001E7D1E"/>
    <w:rsid w:val="001F02F8"/>
    <w:rsid w:val="001F0A5D"/>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0D2"/>
    <w:rsid w:val="002303B2"/>
    <w:rsid w:val="00230464"/>
    <w:rsid w:val="0023055D"/>
    <w:rsid w:val="002312F4"/>
    <w:rsid w:val="0023131B"/>
    <w:rsid w:val="0023180E"/>
    <w:rsid w:val="00231FC7"/>
    <w:rsid w:val="0023209F"/>
    <w:rsid w:val="00232998"/>
    <w:rsid w:val="002332B9"/>
    <w:rsid w:val="0023360D"/>
    <w:rsid w:val="00233C5D"/>
    <w:rsid w:val="00233CA2"/>
    <w:rsid w:val="00233D8A"/>
    <w:rsid w:val="00233DFB"/>
    <w:rsid w:val="00234104"/>
    <w:rsid w:val="00234804"/>
    <w:rsid w:val="00234B4E"/>
    <w:rsid w:val="00234C01"/>
    <w:rsid w:val="00236029"/>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296"/>
    <w:rsid w:val="0026037B"/>
    <w:rsid w:val="00260554"/>
    <w:rsid w:val="002605C7"/>
    <w:rsid w:val="00261C68"/>
    <w:rsid w:val="00261E32"/>
    <w:rsid w:val="002628FC"/>
    <w:rsid w:val="00262C06"/>
    <w:rsid w:val="00262F2D"/>
    <w:rsid w:val="00262F4B"/>
    <w:rsid w:val="00262FE4"/>
    <w:rsid w:val="0026381F"/>
    <w:rsid w:val="002648D4"/>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E95"/>
    <w:rsid w:val="00275FDF"/>
    <w:rsid w:val="00275FEA"/>
    <w:rsid w:val="002763CF"/>
    <w:rsid w:val="002767F4"/>
    <w:rsid w:val="00276BF0"/>
    <w:rsid w:val="00277C29"/>
    <w:rsid w:val="00280062"/>
    <w:rsid w:val="00280380"/>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7A7"/>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26F"/>
    <w:rsid w:val="002B05D0"/>
    <w:rsid w:val="002B0D2C"/>
    <w:rsid w:val="002B132E"/>
    <w:rsid w:val="002B1398"/>
    <w:rsid w:val="002B14B1"/>
    <w:rsid w:val="002B169D"/>
    <w:rsid w:val="002B19DA"/>
    <w:rsid w:val="002B22E6"/>
    <w:rsid w:val="002B2813"/>
    <w:rsid w:val="002B2869"/>
    <w:rsid w:val="002B2B2C"/>
    <w:rsid w:val="002B2B53"/>
    <w:rsid w:val="002B347C"/>
    <w:rsid w:val="002B3642"/>
    <w:rsid w:val="002B368D"/>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B96"/>
    <w:rsid w:val="002D0F69"/>
    <w:rsid w:val="002D11A3"/>
    <w:rsid w:val="002D123D"/>
    <w:rsid w:val="002D18AA"/>
    <w:rsid w:val="002D1F9A"/>
    <w:rsid w:val="002D21C9"/>
    <w:rsid w:val="002D2F97"/>
    <w:rsid w:val="002D365F"/>
    <w:rsid w:val="002D3EC6"/>
    <w:rsid w:val="002D4210"/>
    <w:rsid w:val="002D4DA1"/>
    <w:rsid w:val="002D5EAA"/>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471"/>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6E03"/>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58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5BC"/>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CA3"/>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BD"/>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2D1E"/>
    <w:rsid w:val="003634B8"/>
    <w:rsid w:val="003642A6"/>
    <w:rsid w:val="003644D5"/>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850"/>
    <w:rsid w:val="00374D14"/>
    <w:rsid w:val="003750B6"/>
    <w:rsid w:val="00375465"/>
    <w:rsid w:val="003761FE"/>
    <w:rsid w:val="003766EB"/>
    <w:rsid w:val="00376858"/>
    <w:rsid w:val="00376E32"/>
    <w:rsid w:val="0037751C"/>
    <w:rsid w:val="003775A0"/>
    <w:rsid w:val="0037763E"/>
    <w:rsid w:val="00380076"/>
    <w:rsid w:val="00381364"/>
    <w:rsid w:val="00382117"/>
    <w:rsid w:val="00382782"/>
    <w:rsid w:val="00382BF6"/>
    <w:rsid w:val="003831D0"/>
    <w:rsid w:val="00383379"/>
    <w:rsid w:val="00383E41"/>
    <w:rsid w:val="00383EDE"/>
    <w:rsid w:val="00384091"/>
    <w:rsid w:val="003844F8"/>
    <w:rsid w:val="0038456D"/>
    <w:rsid w:val="003846F0"/>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5EA"/>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1763"/>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A3A"/>
    <w:rsid w:val="003E6B3F"/>
    <w:rsid w:val="003E6FCA"/>
    <w:rsid w:val="003E708A"/>
    <w:rsid w:val="003E7266"/>
    <w:rsid w:val="003E73F3"/>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26FA"/>
    <w:rsid w:val="00403C4B"/>
    <w:rsid w:val="00403E08"/>
    <w:rsid w:val="00404027"/>
    <w:rsid w:val="00404195"/>
    <w:rsid w:val="00404416"/>
    <w:rsid w:val="0040469B"/>
    <w:rsid w:val="00404A0B"/>
    <w:rsid w:val="004050BE"/>
    <w:rsid w:val="004062E5"/>
    <w:rsid w:val="0040633F"/>
    <w:rsid w:val="0040762A"/>
    <w:rsid w:val="00407C5A"/>
    <w:rsid w:val="00407D48"/>
    <w:rsid w:val="004104AA"/>
    <w:rsid w:val="00410C11"/>
    <w:rsid w:val="0041126E"/>
    <w:rsid w:val="004113E2"/>
    <w:rsid w:val="0041147C"/>
    <w:rsid w:val="004115F8"/>
    <w:rsid w:val="00411890"/>
    <w:rsid w:val="00411A58"/>
    <w:rsid w:val="00411D90"/>
    <w:rsid w:val="00412B1A"/>
    <w:rsid w:val="00412EB3"/>
    <w:rsid w:val="00413234"/>
    <w:rsid w:val="00413B09"/>
    <w:rsid w:val="00413C40"/>
    <w:rsid w:val="00414121"/>
    <w:rsid w:val="00414382"/>
    <w:rsid w:val="00414A15"/>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1C4A"/>
    <w:rsid w:val="00422CEB"/>
    <w:rsid w:val="004230FD"/>
    <w:rsid w:val="004232C1"/>
    <w:rsid w:val="00423850"/>
    <w:rsid w:val="00423BF1"/>
    <w:rsid w:val="00424FA7"/>
    <w:rsid w:val="00425538"/>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C41"/>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8D"/>
    <w:rsid w:val="004468D3"/>
    <w:rsid w:val="00446A4F"/>
    <w:rsid w:val="00446F13"/>
    <w:rsid w:val="00447184"/>
    <w:rsid w:val="00451898"/>
    <w:rsid w:val="00452619"/>
    <w:rsid w:val="004527B8"/>
    <w:rsid w:val="00452CAD"/>
    <w:rsid w:val="00453341"/>
    <w:rsid w:val="0045355E"/>
    <w:rsid w:val="00453857"/>
    <w:rsid w:val="004546B4"/>
    <w:rsid w:val="00454BE7"/>
    <w:rsid w:val="00455D8B"/>
    <w:rsid w:val="00455D9D"/>
    <w:rsid w:val="00455DC7"/>
    <w:rsid w:val="00455DDC"/>
    <w:rsid w:val="00455E3E"/>
    <w:rsid w:val="004567B7"/>
    <w:rsid w:val="004567E2"/>
    <w:rsid w:val="00456B90"/>
    <w:rsid w:val="004570F6"/>
    <w:rsid w:val="004571CE"/>
    <w:rsid w:val="004572ED"/>
    <w:rsid w:val="0045783E"/>
    <w:rsid w:val="00457DC8"/>
    <w:rsid w:val="00460099"/>
    <w:rsid w:val="004600EB"/>
    <w:rsid w:val="0046046F"/>
    <w:rsid w:val="004604DD"/>
    <w:rsid w:val="004604EE"/>
    <w:rsid w:val="0046085F"/>
    <w:rsid w:val="00460A9D"/>
    <w:rsid w:val="00460D41"/>
    <w:rsid w:val="00461073"/>
    <w:rsid w:val="00461210"/>
    <w:rsid w:val="00461696"/>
    <w:rsid w:val="00461BD7"/>
    <w:rsid w:val="004623B7"/>
    <w:rsid w:val="00462C5A"/>
    <w:rsid w:val="004632F2"/>
    <w:rsid w:val="004641CB"/>
    <w:rsid w:val="00464B36"/>
    <w:rsid w:val="00464C8F"/>
    <w:rsid w:val="00464E02"/>
    <w:rsid w:val="00464E9D"/>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1617"/>
    <w:rsid w:val="0047211C"/>
    <w:rsid w:val="00472499"/>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718"/>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0926"/>
    <w:rsid w:val="004B108B"/>
    <w:rsid w:val="004B15E1"/>
    <w:rsid w:val="004B17B6"/>
    <w:rsid w:val="004B1A8D"/>
    <w:rsid w:val="004B29F0"/>
    <w:rsid w:val="004B2B4F"/>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234"/>
    <w:rsid w:val="004C1465"/>
    <w:rsid w:val="004C14D0"/>
    <w:rsid w:val="004C1D74"/>
    <w:rsid w:val="004C259F"/>
    <w:rsid w:val="004C2818"/>
    <w:rsid w:val="004C3901"/>
    <w:rsid w:val="004C40E8"/>
    <w:rsid w:val="004C42A8"/>
    <w:rsid w:val="004C45AC"/>
    <w:rsid w:val="004C48AE"/>
    <w:rsid w:val="004C4CA8"/>
    <w:rsid w:val="004C54B7"/>
    <w:rsid w:val="004C579A"/>
    <w:rsid w:val="004C591B"/>
    <w:rsid w:val="004C6389"/>
    <w:rsid w:val="004C6431"/>
    <w:rsid w:val="004C6867"/>
    <w:rsid w:val="004C6956"/>
    <w:rsid w:val="004C69DD"/>
    <w:rsid w:val="004C795A"/>
    <w:rsid w:val="004D03D8"/>
    <w:rsid w:val="004D044A"/>
    <w:rsid w:val="004D1A4C"/>
    <w:rsid w:val="004D1EFC"/>
    <w:rsid w:val="004D23CF"/>
    <w:rsid w:val="004D2717"/>
    <w:rsid w:val="004D29C0"/>
    <w:rsid w:val="004D30AE"/>
    <w:rsid w:val="004D35BA"/>
    <w:rsid w:val="004D3B8D"/>
    <w:rsid w:val="004D3FA6"/>
    <w:rsid w:val="004D4254"/>
    <w:rsid w:val="004D42BE"/>
    <w:rsid w:val="004D4614"/>
    <w:rsid w:val="004D505B"/>
    <w:rsid w:val="004D53EF"/>
    <w:rsid w:val="004D5567"/>
    <w:rsid w:val="004D588A"/>
    <w:rsid w:val="004D5D00"/>
    <w:rsid w:val="004D616E"/>
    <w:rsid w:val="004D6264"/>
    <w:rsid w:val="004D690F"/>
    <w:rsid w:val="004D6C51"/>
    <w:rsid w:val="004D72B5"/>
    <w:rsid w:val="004D7DCC"/>
    <w:rsid w:val="004D7E05"/>
    <w:rsid w:val="004E04DB"/>
    <w:rsid w:val="004E07BB"/>
    <w:rsid w:val="004E0F2A"/>
    <w:rsid w:val="004E1230"/>
    <w:rsid w:val="004E12E9"/>
    <w:rsid w:val="004E1715"/>
    <w:rsid w:val="004E1C2C"/>
    <w:rsid w:val="004E1D09"/>
    <w:rsid w:val="004E204C"/>
    <w:rsid w:val="004E2638"/>
    <w:rsid w:val="004E2AC9"/>
    <w:rsid w:val="004E2B20"/>
    <w:rsid w:val="004E2B93"/>
    <w:rsid w:val="004E3303"/>
    <w:rsid w:val="004E368F"/>
    <w:rsid w:val="004E3735"/>
    <w:rsid w:val="004E4232"/>
    <w:rsid w:val="004E4862"/>
    <w:rsid w:val="004E4D06"/>
    <w:rsid w:val="004E546B"/>
    <w:rsid w:val="004E59CC"/>
    <w:rsid w:val="004E6002"/>
    <w:rsid w:val="004E6DE7"/>
    <w:rsid w:val="004E7B2E"/>
    <w:rsid w:val="004E7CDD"/>
    <w:rsid w:val="004F014F"/>
    <w:rsid w:val="004F0DB4"/>
    <w:rsid w:val="004F208C"/>
    <w:rsid w:val="004F29B3"/>
    <w:rsid w:val="004F3449"/>
    <w:rsid w:val="004F3FF3"/>
    <w:rsid w:val="004F4089"/>
    <w:rsid w:val="004F481A"/>
    <w:rsid w:val="004F4C86"/>
    <w:rsid w:val="004F53B8"/>
    <w:rsid w:val="004F5835"/>
    <w:rsid w:val="004F620B"/>
    <w:rsid w:val="004F6350"/>
    <w:rsid w:val="004F64EC"/>
    <w:rsid w:val="004F69A6"/>
    <w:rsid w:val="004F6B7E"/>
    <w:rsid w:val="004F7046"/>
    <w:rsid w:val="004F7477"/>
    <w:rsid w:val="004F7AB0"/>
    <w:rsid w:val="004F7E2E"/>
    <w:rsid w:val="00500464"/>
    <w:rsid w:val="005005AA"/>
    <w:rsid w:val="0050149D"/>
    <w:rsid w:val="005014C5"/>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632"/>
    <w:rsid w:val="00506BDF"/>
    <w:rsid w:val="00506E9B"/>
    <w:rsid w:val="00506F2D"/>
    <w:rsid w:val="00507849"/>
    <w:rsid w:val="0050785E"/>
    <w:rsid w:val="005078F2"/>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28"/>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1B4"/>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1D9E"/>
    <w:rsid w:val="00562153"/>
    <w:rsid w:val="00562E94"/>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B21"/>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621E"/>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A2B"/>
    <w:rsid w:val="005A7BA5"/>
    <w:rsid w:val="005A7EB1"/>
    <w:rsid w:val="005B0E6C"/>
    <w:rsid w:val="005B0F4D"/>
    <w:rsid w:val="005B146A"/>
    <w:rsid w:val="005B16B7"/>
    <w:rsid w:val="005B1CFC"/>
    <w:rsid w:val="005B1FAA"/>
    <w:rsid w:val="005B212E"/>
    <w:rsid w:val="005B2177"/>
    <w:rsid w:val="005B21C9"/>
    <w:rsid w:val="005B2641"/>
    <w:rsid w:val="005B2A66"/>
    <w:rsid w:val="005B2BA2"/>
    <w:rsid w:val="005B3184"/>
    <w:rsid w:val="005B37D5"/>
    <w:rsid w:val="005B38A0"/>
    <w:rsid w:val="005B4494"/>
    <w:rsid w:val="005B44FE"/>
    <w:rsid w:val="005B4544"/>
    <w:rsid w:val="005B4CE1"/>
    <w:rsid w:val="005B4EA8"/>
    <w:rsid w:val="005B52F7"/>
    <w:rsid w:val="005B565D"/>
    <w:rsid w:val="005B5B64"/>
    <w:rsid w:val="005B6826"/>
    <w:rsid w:val="005B68C7"/>
    <w:rsid w:val="005B6A20"/>
    <w:rsid w:val="005B7E2C"/>
    <w:rsid w:val="005B7EBF"/>
    <w:rsid w:val="005B7FF0"/>
    <w:rsid w:val="005C01E9"/>
    <w:rsid w:val="005C058D"/>
    <w:rsid w:val="005C09DD"/>
    <w:rsid w:val="005C0C54"/>
    <w:rsid w:val="005C0C60"/>
    <w:rsid w:val="005C0F84"/>
    <w:rsid w:val="005C0FF1"/>
    <w:rsid w:val="005C1872"/>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D7D3A"/>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5E7F"/>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3F"/>
    <w:rsid w:val="006050D0"/>
    <w:rsid w:val="00605481"/>
    <w:rsid w:val="006055B5"/>
    <w:rsid w:val="00605BB4"/>
    <w:rsid w:val="00605DEC"/>
    <w:rsid w:val="00606585"/>
    <w:rsid w:val="00606D2A"/>
    <w:rsid w:val="006076D5"/>
    <w:rsid w:val="00607707"/>
    <w:rsid w:val="0060780E"/>
    <w:rsid w:val="00607EC7"/>
    <w:rsid w:val="00607F32"/>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67E"/>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20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17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111"/>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99"/>
    <w:rsid w:val="00661FA9"/>
    <w:rsid w:val="00662092"/>
    <w:rsid w:val="0066209E"/>
    <w:rsid w:val="006625C1"/>
    <w:rsid w:val="006627F7"/>
    <w:rsid w:val="00662A41"/>
    <w:rsid w:val="00662C69"/>
    <w:rsid w:val="00662F4B"/>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0D9D"/>
    <w:rsid w:val="006710D7"/>
    <w:rsid w:val="00671D03"/>
    <w:rsid w:val="00672186"/>
    <w:rsid w:val="00672748"/>
    <w:rsid w:val="00672CF4"/>
    <w:rsid w:val="00672DF8"/>
    <w:rsid w:val="0067312F"/>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03A1"/>
    <w:rsid w:val="00681437"/>
    <w:rsid w:val="00681C67"/>
    <w:rsid w:val="00681E96"/>
    <w:rsid w:val="006828EC"/>
    <w:rsid w:val="00683F98"/>
    <w:rsid w:val="00684C0A"/>
    <w:rsid w:val="00684C87"/>
    <w:rsid w:val="0068559B"/>
    <w:rsid w:val="0068559E"/>
    <w:rsid w:val="00685659"/>
    <w:rsid w:val="0068573E"/>
    <w:rsid w:val="00685A63"/>
    <w:rsid w:val="00685E05"/>
    <w:rsid w:val="006864AF"/>
    <w:rsid w:val="006876A8"/>
    <w:rsid w:val="006878E2"/>
    <w:rsid w:val="00687971"/>
    <w:rsid w:val="00687BE3"/>
    <w:rsid w:val="00687DDC"/>
    <w:rsid w:val="006901AC"/>
    <w:rsid w:val="0069021E"/>
    <w:rsid w:val="0069076C"/>
    <w:rsid w:val="0069101B"/>
    <w:rsid w:val="00691094"/>
    <w:rsid w:val="006912A1"/>
    <w:rsid w:val="00691831"/>
    <w:rsid w:val="00691A9F"/>
    <w:rsid w:val="00691CB4"/>
    <w:rsid w:val="00691F9B"/>
    <w:rsid w:val="0069228B"/>
    <w:rsid w:val="006924B8"/>
    <w:rsid w:val="00692553"/>
    <w:rsid w:val="006927B7"/>
    <w:rsid w:val="00692DBA"/>
    <w:rsid w:val="006933CE"/>
    <w:rsid w:val="00693E7D"/>
    <w:rsid w:val="006951B4"/>
    <w:rsid w:val="006952C1"/>
    <w:rsid w:val="006959D2"/>
    <w:rsid w:val="00696159"/>
    <w:rsid w:val="00696449"/>
    <w:rsid w:val="00696FC4"/>
    <w:rsid w:val="00697048"/>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0FD"/>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EF0"/>
    <w:rsid w:val="006D6F5D"/>
    <w:rsid w:val="006D7389"/>
    <w:rsid w:val="006D73F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11"/>
    <w:rsid w:val="006F03CF"/>
    <w:rsid w:val="006F06FB"/>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3EF5"/>
    <w:rsid w:val="006F508D"/>
    <w:rsid w:val="006F584D"/>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BAE"/>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5CFB"/>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CD6"/>
    <w:rsid w:val="00733E2A"/>
    <w:rsid w:val="007348B9"/>
    <w:rsid w:val="00734952"/>
    <w:rsid w:val="00735ED6"/>
    <w:rsid w:val="007366FE"/>
    <w:rsid w:val="00736B14"/>
    <w:rsid w:val="00736BF5"/>
    <w:rsid w:val="0073782A"/>
    <w:rsid w:val="00737EBC"/>
    <w:rsid w:val="00737F48"/>
    <w:rsid w:val="0074002A"/>
    <w:rsid w:val="00740A5E"/>
    <w:rsid w:val="00740E78"/>
    <w:rsid w:val="00741056"/>
    <w:rsid w:val="007410AA"/>
    <w:rsid w:val="00741D42"/>
    <w:rsid w:val="0074277F"/>
    <w:rsid w:val="0074287A"/>
    <w:rsid w:val="00743084"/>
    <w:rsid w:val="00743836"/>
    <w:rsid w:val="00743E06"/>
    <w:rsid w:val="0074433B"/>
    <w:rsid w:val="00744B83"/>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542"/>
    <w:rsid w:val="00757BAB"/>
    <w:rsid w:val="00760236"/>
    <w:rsid w:val="00760836"/>
    <w:rsid w:val="00760CE0"/>
    <w:rsid w:val="00760F40"/>
    <w:rsid w:val="00761069"/>
    <w:rsid w:val="007613C0"/>
    <w:rsid w:val="007614B4"/>
    <w:rsid w:val="0076160A"/>
    <w:rsid w:val="00761880"/>
    <w:rsid w:val="00761FBF"/>
    <w:rsid w:val="0076243F"/>
    <w:rsid w:val="007626C7"/>
    <w:rsid w:val="007629D5"/>
    <w:rsid w:val="00762BD5"/>
    <w:rsid w:val="0076342B"/>
    <w:rsid w:val="00763500"/>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31"/>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60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493"/>
    <w:rsid w:val="007A78E8"/>
    <w:rsid w:val="007A7A40"/>
    <w:rsid w:val="007B0089"/>
    <w:rsid w:val="007B06D2"/>
    <w:rsid w:val="007B0CBC"/>
    <w:rsid w:val="007B0E22"/>
    <w:rsid w:val="007B22EC"/>
    <w:rsid w:val="007B24B9"/>
    <w:rsid w:val="007B2686"/>
    <w:rsid w:val="007B2708"/>
    <w:rsid w:val="007B328A"/>
    <w:rsid w:val="007B33E8"/>
    <w:rsid w:val="007B36B7"/>
    <w:rsid w:val="007B3EDA"/>
    <w:rsid w:val="007B3F4B"/>
    <w:rsid w:val="007B4759"/>
    <w:rsid w:val="007B4901"/>
    <w:rsid w:val="007B4A72"/>
    <w:rsid w:val="007B56CF"/>
    <w:rsid w:val="007B5BB2"/>
    <w:rsid w:val="007B5EBB"/>
    <w:rsid w:val="007B5F58"/>
    <w:rsid w:val="007B5FCC"/>
    <w:rsid w:val="007B626E"/>
    <w:rsid w:val="007B6473"/>
    <w:rsid w:val="007B66B4"/>
    <w:rsid w:val="007B6FBE"/>
    <w:rsid w:val="007B70A6"/>
    <w:rsid w:val="007B72B9"/>
    <w:rsid w:val="007B748E"/>
    <w:rsid w:val="007B7496"/>
    <w:rsid w:val="007B76C5"/>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03D"/>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791"/>
    <w:rsid w:val="007D7864"/>
    <w:rsid w:val="007D7ABB"/>
    <w:rsid w:val="007D7DC1"/>
    <w:rsid w:val="007E08CF"/>
    <w:rsid w:val="007E1245"/>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131"/>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351"/>
    <w:rsid w:val="008045CB"/>
    <w:rsid w:val="00805E21"/>
    <w:rsid w:val="008069FB"/>
    <w:rsid w:val="00806D0A"/>
    <w:rsid w:val="00807767"/>
    <w:rsid w:val="008078BB"/>
    <w:rsid w:val="008101C4"/>
    <w:rsid w:val="00810367"/>
    <w:rsid w:val="00810803"/>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82"/>
    <w:rsid w:val="008149BD"/>
    <w:rsid w:val="00814A98"/>
    <w:rsid w:val="008158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47D9F"/>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6AF0"/>
    <w:rsid w:val="0085768C"/>
    <w:rsid w:val="00857751"/>
    <w:rsid w:val="008578A7"/>
    <w:rsid w:val="0086027E"/>
    <w:rsid w:val="008603F8"/>
    <w:rsid w:val="00860B57"/>
    <w:rsid w:val="00861515"/>
    <w:rsid w:val="0086281E"/>
    <w:rsid w:val="008628AF"/>
    <w:rsid w:val="00863361"/>
    <w:rsid w:val="00863A46"/>
    <w:rsid w:val="008642A9"/>
    <w:rsid w:val="00864533"/>
    <w:rsid w:val="0086485B"/>
    <w:rsid w:val="00865330"/>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6D3"/>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C36"/>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C19"/>
    <w:rsid w:val="008A1EAC"/>
    <w:rsid w:val="008A1FB2"/>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133"/>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180"/>
    <w:rsid w:val="008C635B"/>
    <w:rsid w:val="008C7571"/>
    <w:rsid w:val="008D0783"/>
    <w:rsid w:val="008D0D56"/>
    <w:rsid w:val="008D1599"/>
    <w:rsid w:val="008D163C"/>
    <w:rsid w:val="008D1C58"/>
    <w:rsid w:val="008D3150"/>
    <w:rsid w:val="008D339E"/>
    <w:rsid w:val="008D38B9"/>
    <w:rsid w:val="008D39F4"/>
    <w:rsid w:val="008D4468"/>
    <w:rsid w:val="008D4565"/>
    <w:rsid w:val="008D4AC2"/>
    <w:rsid w:val="008D4C41"/>
    <w:rsid w:val="008D4C9E"/>
    <w:rsid w:val="008D50BF"/>
    <w:rsid w:val="008D544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CDF"/>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1D5"/>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0D1"/>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2C1"/>
    <w:rsid w:val="00922639"/>
    <w:rsid w:val="009226B3"/>
    <w:rsid w:val="009226FC"/>
    <w:rsid w:val="00922893"/>
    <w:rsid w:val="00922E4D"/>
    <w:rsid w:val="009233A9"/>
    <w:rsid w:val="0092427D"/>
    <w:rsid w:val="00924652"/>
    <w:rsid w:val="00924F98"/>
    <w:rsid w:val="00925A4D"/>
    <w:rsid w:val="00925B82"/>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101"/>
    <w:rsid w:val="00935393"/>
    <w:rsid w:val="0093579C"/>
    <w:rsid w:val="0093588E"/>
    <w:rsid w:val="00936C31"/>
    <w:rsid w:val="009377DF"/>
    <w:rsid w:val="00937E41"/>
    <w:rsid w:val="00940ABE"/>
    <w:rsid w:val="00940F69"/>
    <w:rsid w:val="009412A4"/>
    <w:rsid w:val="00941531"/>
    <w:rsid w:val="0094193A"/>
    <w:rsid w:val="00942137"/>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741"/>
    <w:rsid w:val="00960C26"/>
    <w:rsid w:val="00960FB5"/>
    <w:rsid w:val="009611A1"/>
    <w:rsid w:val="00961272"/>
    <w:rsid w:val="0096154A"/>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26D"/>
    <w:rsid w:val="009662C0"/>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763"/>
    <w:rsid w:val="00975E2A"/>
    <w:rsid w:val="0097618F"/>
    <w:rsid w:val="00976735"/>
    <w:rsid w:val="00976909"/>
    <w:rsid w:val="00976B57"/>
    <w:rsid w:val="0097778B"/>
    <w:rsid w:val="00977835"/>
    <w:rsid w:val="00980219"/>
    <w:rsid w:val="0098039F"/>
    <w:rsid w:val="00980599"/>
    <w:rsid w:val="00980E8C"/>
    <w:rsid w:val="00981345"/>
    <w:rsid w:val="00981B43"/>
    <w:rsid w:val="00981E76"/>
    <w:rsid w:val="00982229"/>
    <w:rsid w:val="009825D0"/>
    <w:rsid w:val="00982BBD"/>
    <w:rsid w:val="00983202"/>
    <w:rsid w:val="009832A8"/>
    <w:rsid w:val="00983D26"/>
    <w:rsid w:val="009842B6"/>
    <w:rsid w:val="009847B3"/>
    <w:rsid w:val="00984E2D"/>
    <w:rsid w:val="009854E3"/>
    <w:rsid w:val="00985BE2"/>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790"/>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5C2"/>
    <w:rsid w:val="009C02C1"/>
    <w:rsid w:val="009C02E7"/>
    <w:rsid w:val="009C08F8"/>
    <w:rsid w:val="009C0A03"/>
    <w:rsid w:val="009C0A91"/>
    <w:rsid w:val="009C1BFC"/>
    <w:rsid w:val="009C1E8C"/>
    <w:rsid w:val="009C2046"/>
    <w:rsid w:val="009C213E"/>
    <w:rsid w:val="009C264B"/>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0E51"/>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43A4"/>
    <w:rsid w:val="00A0521E"/>
    <w:rsid w:val="00A05A3F"/>
    <w:rsid w:val="00A05A87"/>
    <w:rsid w:val="00A05C6C"/>
    <w:rsid w:val="00A05DCA"/>
    <w:rsid w:val="00A05FC1"/>
    <w:rsid w:val="00A06408"/>
    <w:rsid w:val="00A069BD"/>
    <w:rsid w:val="00A06CDE"/>
    <w:rsid w:val="00A07509"/>
    <w:rsid w:val="00A078AA"/>
    <w:rsid w:val="00A103AE"/>
    <w:rsid w:val="00A106BA"/>
    <w:rsid w:val="00A121C8"/>
    <w:rsid w:val="00A1221F"/>
    <w:rsid w:val="00A12337"/>
    <w:rsid w:val="00A13A03"/>
    <w:rsid w:val="00A13B9F"/>
    <w:rsid w:val="00A13D72"/>
    <w:rsid w:val="00A13F5C"/>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D05"/>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A15"/>
    <w:rsid w:val="00A27B25"/>
    <w:rsid w:val="00A27D6D"/>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4B"/>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9FC"/>
    <w:rsid w:val="00A66DAF"/>
    <w:rsid w:val="00A66F28"/>
    <w:rsid w:val="00A6716D"/>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1CD"/>
    <w:rsid w:val="00AB22F0"/>
    <w:rsid w:val="00AB3275"/>
    <w:rsid w:val="00AB383D"/>
    <w:rsid w:val="00AB38EB"/>
    <w:rsid w:val="00AB3B43"/>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0FC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071"/>
    <w:rsid w:val="00AE0998"/>
    <w:rsid w:val="00AE0CBD"/>
    <w:rsid w:val="00AE0F57"/>
    <w:rsid w:val="00AE1627"/>
    <w:rsid w:val="00AE1772"/>
    <w:rsid w:val="00AE177C"/>
    <w:rsid w:val="00AE2606"/>
    <w:rsid w:val="00AE29C9"/>
    <w:rsid w:val="00AE33A3"/>
    <w:rsid w:val="00AE3442"/>
    <w:rsid w:val="00AE3C76"/>
    <w:rsid w:val="00AE4539"/>
    <w:rsid w:val="00AE47CD"/>
    <w:rsid w:val="00AE4A5C"/>
    <w:rsid w:val="00AE56B9"/>
    <w:rsid w:val="00AE5D2F"/>
    <w:rsid w:val="00AE611D"/>
    <w:rsid w:val="00AE627C"/>
    <w:rsid w:val="00AE6343"/>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4E14"/>
    <w:rsid w:val="00B353FA"/>
    <w:rsid w:val="00B3567D"/>
    <w:rsid w:val="00B35BA4"/>
    <w:rsid w:val="00B35D70"/>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6756"/>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4F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3E55"/>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8B7"/>
    <w:rsid w:val="00B76903"/>
    <w:rsid w:val="00B76C9C"/>
    <w:rsid w:val="00B7758F"/>
    <w:rsid w:val="00B77DD3"/>
    <w:rsid w:val="00B808D6"/>
    <w:rsid w:val="00B8113F"/>
    <w:rsid w:val="00B81861"/>
    <w:rsid w:val="00B81A05"/>
    <w:rsid w:val="00B81DA7"/>
    <w:rsid w:val="00B81DD6"/>
    <w:rsid w:val="00B82613"/>
    <w:rsid w:val="00B82D33"/>
    <w:rsid w:val="00B84150"/>
    <w:rsid w:val="00B8458D"/>
    <w:rsid w:val="00B85A32"/>
    <w:rsid w:val="00B867B2"/>
    <w:rsid w:val="00B86ED1"/>
    <w:rsid w:val="00B87080"/>
    <w:rsid w:val="00B8720E"/>
    <w:rsid w:val="00B87457"/>
    <w:rsid w:val="00B877A7"/>
    <w:rsid w:val="00B8799E"/>
    <w:rsid w:val="00B87DDC"/>
    <w:rsid w:val="00B908FB"/>
    <w:rsid w:val="00B90AEE"/>
    <w:rsid w:val="00B90C16"/>
    <w:rsid w:val="00B91056"/>
    <w:rsid w:val="00B910BD"/>
    <w:rsid w:val="00B913F2"/>
    <w:rsid w:val="00B916D6"/>
    <w:rsid w:val="00B91D76"/>
    <w:rsid w:val="00B91DA9"/>
    <w:rsid w:val="00B91F2D"/>
    <w:rsid w:val="00B92568"/>
    <w:rsid w:val="00B927D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A69"/>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8D8"/>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15B"/>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1DF"/>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54"/>
    <w:rsid w:val="00C67B78"/>
    <w:rsid w:val="00C67D3C"/>
    <w:rsid w:val="00C70484"/>
    <w:rsid w:val="00C70573"/>
    <w:rsid w:val="00C70798"/>
    <w:rsid w:val="00C70AE7"/>
    <w:rsid w:val="00C715AD"/>
    <w:rsid w:val="00C71DD0"/>
    <w:rsid w:val="00C7249E"/>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74A"/>
    <w:rsid w:val="00C818DB"/>
    <w:rsid w:val="00C8203A"/>
    <w:rsid w:val="00C822BA"/>
    <w:rsid w:val="00C823F7"/>
    <w:rsid w:val="00C8287D"/>
    <w:rsid w:val="00C8289A"/>
    <w:rsid w:val="00C82C2B"/>
    <w:rsid w:val="00C83718"/>
    <w:rsid w:val="00C84715"/>
    <w:rsid w:val="00C84C0E"/>
    <w:rsid w:val="00C84E8D"/>
    <w:rsid w:val="00C856D3"/>
    <w:rsid w:val="00C85E29"/>
    <w:rsid w:val="00C861B7"/>
    <w:rsid w:val="00C86A52"/>
    <w:rsid w:val="00C87E98"/>
    <w:rsid w:val="00C87EC7"/>
    <w:rsid w:val="00C87FEC"/>
    <w:rsid w:val="00C90A9C"/>
    <w:rsid w:val="00C90C90"/>
    <w:rsid w:val="00C90E30"/>
    <w:rsid w:val="00C9101B"/>
    <w:rsid w:val="00C91083"/>
    <w:rsid w:val="00C912F3"/>
    <w:rsid w:val="00C9152F"/>
    <w:rsid w:val="00C91AB0"/>
    <w:rsid w:val="00C91B9E"/>
    <w:rsid w:val="00C91D53"/>
    <w:rsid w:val="00C91E92"/>
    <w:rsid w:val="00C92184"/>
    <w:rsid w:val="00C922AE"/>
    <w:rsid w:val="00C922BF"/>
    <w:rsid w:val="00C92471"/>
    <w:rsid w:val="00C92702"/>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1C9"/>
    <w:rsid w:val="00CB2D4D"/>
    <w:rsid w:val="00CB3056"/>
    <w:rsid w:val="00CB321C"/>
    <w:rsid w:val="00CB3562"/>
    <w:rsid w:val="00CB37B3"/>
    <w:rsid w:val="00CB4279"/>
    <w:rsid w:val="00CB4B11"/>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5E94"/>
    <w:rsid w:val="00CC673C"/>
    <w:rsid w:val="00CC6AED"/>
    <w:rsid w:val="00CC76E3"/>
    <w:rsid w:val="00CC7899"/>
    <w:rsid w:val="00CD06A9"/>
    <w:rsid w:val="00CD0A0B"/>
    <w:rsid w:val="00CD2062"/>
    <w:rsid w:val="00CD2AB1"/>
    <w:rsid w:val="00CD2F10"/>
    <w:rsid w:val="00CD32F6"/>
    <w:rsid w:val="00CD3B1B"/>
    <w:rsid w:val="00CD3E75"/>
    <w:rsid w:val="00CD4080"/>
    <w:rsid w:val="00CD4966"/>
    <w:rsid w:val="00CD4BAB"/>
    <w:rsid w:val="00CD4FA8"/>
    <w:rsid w:val="00CD51C9"/>
    <w:rsid w:val="00CD5EC5"/>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887"/>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5F58"/>
    <w:rsid w:val="00D0610D"/>
    <w:rsid w:val="00D0611D"/>
    <w:rsid w:val="00D064E8"/>
    <w:rsid w:val="00D07CF4"/>
    <w:rsid w:val="00D10152"/>
    <w:rsid w:val="00D103A1"/>
    <w:rsid w:val="00D10966"/>
    <w:rsid w:val="00D11203"/>
    <w:rsid w:val="00D11862"/>
    <w:rsid w:val="00D11B7E"/>
    <w:rsid w:val="00D11F75"/>
    <w:rsid w:val="00D11FC2"/>
    <w:rsid w:val="00D12675"/>
    <w:rsid w:val="00D13D4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581"/>
    <w:rsid w:val="00D276DA"/>
    <w:rsid w:val="00D27E9F"/>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D3B"/>
    <w:rsid w:val="00D36E74"/>
    <w:rsid w:val="00D375CE"/>
    <w:rsid w:val="00D379F2"/>
    <w:rsid w:val="00D37C9B"/>
    <w:rsid w:val="00D37DB9"/>
    <w:rsid w:val="00D4009A"/>
    <w:rsid w:val="00D4064F"/>
    <w:rsid w:val="00D40679"/>
    <w:rsid w:val="00D40837"/>
    <w:rsid w:val="00D40A76"/>
    <w:rsid w:val="00D40AD7"/>
    <w:rsid w:val="00D41104"/>
    <w:rsid w:val="00D4118A"/>
    <w:rsid w:val="00D411DD"/>
    <w:rsid w:val="00D41201"/>
    <w:rsid w:val="00D412B4"/>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6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A79"/>
    <w:rsid w:val="00D55C3E"/>
    <w:rsid w:val="00D55F26"/>
    <w:rsid w:val="00D55F88"/>
    <w:rsid w:val="00D5693A"/>
    <w:rsid w:val="00D5720A"/>
    <w:rsid w:val="00D573E5"/>
    <w:rsid w:val="00D57814"/>
    <w:rsid w:val="00D57B41"/>
    <w:rsid w:val="00D57B72"/>
    <w:rsid w:val="00D603F4"/>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038"/>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9F1"/>
    <w:rsid w:val="00DB6B42"/>
    <w:rsid w:val="00DB6BAE"/>
    <w:rsid w:val="00DB6C58"/>
    <w:rsid w:val="00DB7027"/>
    <w:rsid w:val="00DB77EE"/>
    <w:rsid w:val="00DB7FBB"/>
    <w:rsid w:val="00DC00BD"/>
    <w:rsid w:val="00DC0355"/>
    <w:rsid w:val="00DC06DD"/>
    <w:rsid w:val="00DC0AF6"/>
    <w:rsid w:val="00DC0D84"/>
    <w:rsid w:val="00DC0FCB"/>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4B4"/>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0C7E"/>
    <w:rsid w:val="00DF12AE"/>
    <w:rsid w:val="00DF132C"/>
    <w:rsid w:val="00DF1403"/>
    <w:rsid w:val="00DF146E"/>
    <w:rsid w:val="00DF15B6"/>
    <w:rsid w:val="00DF17B1"/>
    <w:rsid w:val="00DF18B0"/>
    <w:rsid w:val="00DF2FAB"/>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D3C"/>
    <w:rsid w:val="00E15FC4"/>
    <w:rsid w:val="00E15FD0"/>
    <w:rsid w:val="00E1700F"/>
    <w:rsid w:val="00E17440"/>
    <w:rsid w:val="00E17FC8"/>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6C88"/>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9BE"/>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0C5"/>
    <w:rsid w:val="00E47359"/>
    <w:rsid w:val="00E47BFE"/>
    <w:rsid w:val="00E502C8"/>
    <w:rsid w:val="00E5046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6F06"/>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2969"/>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445"/>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045C"/>
    <w:rsid w:val="00EC15AC"/>
    <w:rsid w:val="00EC16CE"/>
    <w:rsid w:val="00EC1B91"/>
    <w:rsid w:val="00EC21F1"/>
    <w:rsid w:val="00EC2379"/>
    <w:rsid w:val="00EC2C9A"/>
    <w:rsid w:val="00EC2F7E"/>
    <w:rsid w:val="00EC3678"/>
    <w:rsid w:val="00EC3A6B"/>
    <w:rsid w:val="00EC3EE9"/>
    <w:rsid w:val="00EC4287"/>
    <w:rsid w:val="00EC42DB"/>
    <w:rsid w:val="00EC4424"/>
    <w:rsid w:val="00EC4FC0"/>
    <w:rsid w:val="00EC541E"/>
    <w:rsid w:val="00EC5584"/>
    <w:rsid w:val="00EC5EDA"/>
    <w:rsid w:val="00EC6046"/>
    <w:rsid w:val="00EC612B"/>
    <w:rsid w:val="00EC627F"/>
    <w:rsid w:val="00EC6B1F"/>
    <w:rsid w:val="00EC6B4E"/>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5FFD"/>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80"/>
    <w:rsid w:val="00EE29B2"/>
    <w:rsid w:val="00EE29CE"/>
    <w:rsid w:val="00EE3726"/>
    <w:rsid w:val="00EE3AD6"/>
    <w:rsid w:val="00EE3EE0"/>
    <w:rsid w:val="00EE43B9"/>
    <w:rsid w:val="00EE4427"/>
    <w:rsid w:val="00EE477D"/>
    <w:rsid w:val="00EE4858"/>
    <w:rsid w:val="00EE4A29"/>
    <w:rsid w:val="00EE4B7F"/>
    <w:rsid w:val="00EE52F2"/>
    <w:rsid w:val="00EE5A5E"/>
    <w:rsid w:val="00EE5BB8"/>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BCF"/>
    <w:rsid w:val="00EF3C99"/>
    <w:rsid w:val="00EF3D89"/>
    <w:rsid w:val="00EF494C"/>
    <w:rsid w:val="00EF4A7A"/>
    <w:rsid w:val="00EF4AE0"/>
    <w:rsid w:val="00EF4B59"/>
    <w:rsid w:val="00EF4C5F"/>
    <w:rsid w:val="00EF4FB3"/>
    <w:rsid w:val="00EF5166"/>
    <w:rsid w:val="00EF5A32"/>
    <w:rsid w:val="00EF5E14"/>
    <w:rsid w:val="00EF64EB"/>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4C51"/>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1A7"/>
    <w:rsid w:val="00F15CAA"/>
    <w:rsid w:val="00F162D8"/>
    <w:rsid w:val="00F163D4"/>
    <w:rsid w:val="00F16584"/>
    <w:rsid w:val="00F165E1"/>
    <w:rsid w:val="00F16BAF"/>
    <w:rsid w:val="00F16BC7"/>
    <w:rsid w:val="00F16FE2"/>
    <w:rsid w:val="00F1745F"/>
    <w:rsid w:val="00F17867"/>
    <w:rsid w:val="00F17F7A"/>
    <w:rsid w:val="00F17FA5"/>
    <w:rsid w:val="00F2021F"/>
    <w:rsid w:val="00F2026D"/>
    <w:rsid w:val="00F205F3"/>
    <w:rsid w:val="00F2086F"/>
    <w:rsid w:val="00F2211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1AE"/>
    <w:rsid w:val="00F3628B"/>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B99"/>
    <w:rsid w:val="00F44CCA"/>
    <w:rsid w:val="00F4537E"/>
    <w:rsid w:val="00F45BE2"/>
    <w:rsid w:val="00F466A4"/>
    <w:rsid w:val="00F4677D"/>
    <w:rsid w:val="00F467DA"/>
    <w:rsid w:val="00F47417"/>
    <w:rsid w:val="00F47447"/>
    <w:rsid w:val="00F479B4"/>
    <w:rsid w:val="00F47B6D"/>
    <w:rsid w:val="00F501B4"/>
    <w:rsid w:val="00F5087B"/>
    <w:rsid w:val="00F50D55"/>
    <w:rsid w:val="00F51113"/>
    <w:rsid w:val="00F515C5"/>
    <w:rsid w:val="00F522DE"/>
    <w:rsid w:val="00F528A4"/>
    <w:rsid w:val="00F52EF8"/>
    <w:rsid w:val="00F53257"/>
    <w:rsid w:val="00F532E8"/>
    <w:rsid w:val="00F53496"/>
    <w:rsid w:val="00F53DE4"/>
    <w:rsid w:val="00F53E17"/>
    <w:rsid w:val="00F545B3"/>
    <w:rsid w:val="00F54833"/>
    <w:rsid w:val="00F54C19"/>
    <w:rsid w:val="00F54C38"/>
    <w:rsid w:val="00F54F40"/>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1BF"/>
    <w:rsid w:val="00F71248"/>
    <w:rsid w:val="00F71595"/>
    <w:rsid w:val="00F71F52"/>
    <w:rsid w:val="00F72047"/>
    <w:rsid w:val="00F72127"/>
    <w:rsid w:val="00F72249"/>
    <w:rsid w:val="00F7241F"/>
    <w:rsid w:val="00F7274B"/>
    <w:rsid w:val="00F72EAE"/>
    <w:rsid w:val="00F738F1"/>
    <w:rsid w:val="00F742E4"/>
    <w:rsid w:val="00F74410"/>
    <w:rsid w:val="00F7456E"/>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AD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550"/>
    <w:rsid w:val="00F90701"/>
    <w:rsid w:val="00F90B6D"/>
    <w:rsid w:val="00F91116"/>
    <w:rsid w:val="00F91132"/>
    <w:rsid w:val="00F912A4"/>
    <w:rsid w:val="00F912E7"/>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80"/>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72"/>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DA2"/>
    <w:rsid w:val="00FC3E0D"/>
    <w:rsid w:val="00FC45D1"/>
    <w:rsid w:val="00FC50DC"/>
    <w:rsid w:val="00FC512A"/>
    <w:rsid w:val="00FC56AF"/>
    <w:rsid w:val="00FC59C4"/>
    <w:rsid w:val="00FC5CEA"/>
    <w:rsid w:val="00FC6451"/>
    <w:rsid w:val="00FC6B4B"/>
    <w:rsid w:val="00FC7D22"/>
    <w:rsid w:val="00FC7E19"/>
    <w:rsid w:val="00FD001A"/>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617"/>
    <w:rsid w:val="00FE097C"/>
    <w:rsid w:val="00FE1315"/>
    <w:rsid w:val="00FE135F"/>
    <w:rsid w:val="00FE16BC"/>
    <w:rsid w:val="00FE1881"/>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976"/>
    <w:rsid w:val="00FE6BA8"/>
    <w:rsid w:val="00FE6E71"/>
    <w:rsid w:val="00FE71F6"/>
    <w:rsid w:val="00FE7444"/>
    <w:rsid w:val="00FE7850"/>
    <w:rsid w:val="00FF0224"/>
    <w:rsid w:val="00FF0842"/>
    <w:rsid w:val="00FF0D3F"/>
    <w:rsid w:val="00FF12AF"/>
    <w:rsid w:val="00FF16F2"/>
    <w:rsid w:val="00FF1A3D"/>
    <w:rsid w:val="00FF230C"/>
    <w:rsid w:val="00FF24A1"/>
    <w:rsid w:val="00FF2A06"/>
    <w:rsid w:val="00FF2A12"/>
    <w:rsid w:val="00FF2C67"/>
    <w:rsid w:val="00FF2C94"/>
    <w:rsid w:val="00FF2F38"/>
    <w:rsid w:val="00FF3149"/>
    <w:rsid w:val="00FF3D60"/>
    <w:rsid w:val="00FF3E82"/>
    <w:rsid w:val="00FF44C1"/>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2AF"/>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
    <w:next w:val="Normal"/>
    <w:link w:val="Heading1Char1"/>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12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2A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1">
    <w:name w:val="Heading 1 Char1"/>
    <w:aliases w:val="H1 Char,h1 Char,Heading 1 3GPP Char,app heading 1 Char1,l1 Char1,Memo Heading 1 Char1,h11 Char1,h12 Char1,h13 Char1,h14 Char1,h15 Char1,h16 Char1,제목 1(no line) Char1,Heading 1_a Char1,heading 1 Char1,h17 Char1,h111 Char1,h121 Char1"/>
    <w:link w:val="Heading1"/>
    <w:uiPriority w:val="99"/>
    <w:rsid w:val="003A427B"/>
    <w:rPr>
      <w:rFonts w:ascii="Arial" w:hAnsi="Arial"/>
      <w:sz w:val="36"/>
      <w:lang w:val="en-GB" w:eastAsia="en-US" w:bidi="ar-SA"/>
    </w:rPr>
  </w:style>
  <w:style w:type="character" w:customStyle="1" w:styleId="TACChar">
    <w:name w:val="TAC Char"/>
    <w:link w:val="TAC"/>
    <w:qFormat/>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qFormat/>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CommentTextChar">
    <w:name w:val="Comment Text Char"/>
    <w:basedOn w:val="DefaultParagraphFont"/>
    <w:link w:val="CommentText"/>
    <w:semiHidden/>
    <w:rsid w:val="00BD798A"/>
    <w:rPr>
      <w:rFonts w:asciiTheme="minorHAnsi" w:eastAsia="MS Mincho" w:hAnsiTheme="minorHAnsi" w:cstheme="minorBidi"/>
      <w:kern w:val="2"/>
      <w:sz w:val="24"/>
      <w:szCs w:val="22"/>
    </w:rPr>
  </w:style>
  <w:style w:type="character" w:customStyle="1" w:styleId="Heading5Char">
    <w:name w:val="Heading 5 Char"/>
    <w:basedOn w:val="DefaultParagraphFont"/>
    <w:link w:val="Heading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paragraph" w:customStyle="1" w:styleId="Agreement">
    <w:name w:val="Agreement"/>
    <w:basedOn w:val="Normal"/>
    <w:next w:val="Normal"/>
    <w:qFormat/>
    <w:rsid w:val="000803EE"/>
    <w:pPr>
      <w:numPr>
        <w:numId w:val="2"/>
      </w:numPr>
      <w:spacing w:before="60"/>
    </w:pPr>
    <w:rPr>
      <w:rFonts w:ascii="Arial" w:eastAsia="MS Mincho" w:hAnsi="Arial" w:cs="Times New Roman"/>
      <w:b/>
      <w:sz w:val="20"/>
      <w:szCs w:val="24"/>
      <w:lang w:eastAsia="en-GB"/>
    </w:rPr>
  </w:style>
  <w:style w:type="character" w:customStyle="1" w:styleId="normaltextrun">
    <w:name w:val="normaltextrun"/>
    <w:basedOn w:val="DefaultParagraphFont"/>
    <w:rsid w:val="005B6826"/>
  </w:style>
  <w:style w:type="character" w:customStyle="1" w:styleId="eop">
    <w:name w:val="eop"/>
    <w:basedOn w:val="DefaultParagraphFont"/>
    <w:rsid w:val="005B6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88875735">
      <w:bodyDiv w:val="1"/>
      <w:marLeft w:val="0"/>
      <w:marRight w:val="0"/>
      <w:marTop w:val="0"/>
      <w:marBottom w:val="0"/>
      <w:divBdr>
        <w:top w:val="none" w:sz="0" w:space="0" w:color="auto"/>
        <w:left w:val="none" w:sz="0" w:space="0" w:color="auto"/>
        <w:bottom w:val="none" w:sz="0" w:space="0" w:color="auto"/>
        <w:right w:val="none" w:sz="0" w:space="0" w:color="auto"/>
      </w:divBdr>
      <w:divsChild>
        <w:div w:id="221605112">
          <w:marLeft w:val="1886"/>
          <w:marRight w:val="0"/>
          <w:marTop w:val="0"/>
          <w:marBottom w:val="0"/>
          <w:divBdr>
            <w:top w:val="none" w:sz="0" w:space="0" w:color="auto"/>
            <w:left w:val="none" w:sz="0" w:space="0" w:color="auto"/>
            <w:bottom w:val="none" w:sz="0" w:space="0" w:color="auto"/>
            <w:right w:val="none" w:sz="0" w:space="0" w:color="auto"/>
          </w:divBdr>
        </w:div>
      </w:divsChild>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4207887">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5292149">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66108727">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306810">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13899955">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7">
          <w:marLeft w:val="446"/>
          <w:marRight w:val="0"/>
          <w:marTop w:val="0"/>
          <w:marBottom w:val="0"/>
          <w:divBdr>
            <w:top w:val="none" w:sz="0" w:space="0" w:color="auto"/>
            <w:left w:val="none" w:sz="0" w:space="0" w:color="auto"/>
            <w:bottom w:val="none" w:sz="0" w:space="0" w:color="auto"/>
            <w:right w:val="none" w:sz="0" w:space="0" w:color="auto"/>
          </w:divBdr>
        </w:div>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sChild>
    </w:div>
    <w:div w:id="651833600">
      <w:bodyDiv w:val="1"/>
      <w:marLeft w:val="0"/>
      <w:marRight w:val="0"/>
      <w:marTop w:val="0"/>
      <w:marBottom w:val="0"/>
      <w:divBdr>
        <w:top w:val="none" w:sz="0" w:space="0" w:color="auto"/>
        <w:left w:val="none" w:sz="0" w:space="0" w:color="auto"/>
        <w:bottom w:val="none" w:sz="0" w:space="0" w:color="auto"/>
        <w:right w:val="none" w:sz="0" w:space="0" w:color="auto"/>
      </w:divBdr>
      <w:divsChild>
        <w:div w:id="1345860239">
          <w:marLeft w:val="1699"/>
          <w:marRight w:val="0"/>
          <w:marTop w:val="120"/>
          <w:marBottom w:val="0"/>
          <w:divBdr>
            <w:top w:val="none" w:sz="0" w:space="0" w:color="auto"/>
            <w:left w:val="none" w:sz="0" w:space="0" w:color="auto"/>
            <w:bottom w:val="none" w:sz="0" w:space="0" w:color="auto"/>
            <w:right w:val="none" w:sz="0" w:space="0" w:color="auto"/>
          </w:divBdr>
        </w:div>
      </w:divsChild>
    </w:div>
    <w:div w:id="654065812">
      <w:bodyDiv w:val="1"/>
      <w:marLeft w:val="0"/>
      <w:marRight w:val="0"/>
      <w:marTop w:val="0"/>
      <w:marBottom w:val="0"/>
      <w:divBdr>
        <w:top w:val="none" w:sz="0" w:space="0" w:color="auto"/>
        <w:left w:val="none" w:sz="0" w:space="0" w:color="auto"/>
        <w:bottom w:val="none" w:sz="0" w:space="0" w:color="auto"/>
        <w:right w:val="none" w:sz="0" w:space="0" w:color="auto"/>
      </w:divBdr>
    </w:div>
    <w:div w:id="668749590">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87506705">
      <w:bodyDiv w:val="1"/>
      <w:marLeft w:val="0"/>
      <w:marRight w:val="0"/>
      <w:marTop w:val="0"/>
      <w:marBottom w:val="0"/>
      <w:divBdr>
        <w:top w:val="none" w:sz="0" w:space="0" w:color="auto"/>
        <w:left w:val="none" w:sz="0" w:space="0" w:color="auto"/>
        <w:bottom w:val="none" w:sz="0" w:space="0" w:color="auto"/>
        <w:right w:val="none" w:sz="0" w:space="0" w:color="auto"/>
      </w:divBdr>
      <w:divsChild>
        <w:div w:id="264924719">
          <w:marLeft w:val="432"/>
          <w:marRight w:val="0"/>
          <w:marTop w:val="20"/>
          <w:marBottom w:val="0"/>
          <w:divBdr>
            <w:top w:val="none" w:sz="0" w:space="0" w:color="auto"/>
            <w:left w:val="none" w:sz="0" w:space="0" w:color="auto"/>
            <w:bottom w:val="none" w:sz="0" w:space="0" w:color="auto"/>
            <w:right w:val="none" w:sz="0" w:space="0" w:color="auto"/>
          </w:divBdr>
        </w:div>
        <w:div w:id="49576678">
          <w:marLeft w:val="432"/>
          <w:marRight w:val="0"/>
          <w:marTop w:val="20"/>
          <w:marBottom w:val="0"/>
          <w:divBdr>
            <w:top w:val="none" w:sz="0" w:space="0" w:color="auto"/>
            <w:left w:val="none" w:sz="0" w:space="0" w:color="auto"/>
            <w:bottom w:val="none" w:sz="0" w:space="0" w:color="auto"/>
            <w:right w:val="none" w:sz="0" w:space="0" w:color="auto"/>
          </w:divBdr>
        </w:div>
        <w:div w:id="1366906677">
          <w:marLeft w:val="1267"/>
          <w:marRight w:val="0"/>
          <w:marTop w:val="20"/>
          <w:marBottom w:val="0"/>
          <w:divBdr>
            <w:top w:val="none" w:sz="0" w:space="0" w:color="auto"/>
            <w:left w:val="none" w:sz="0" w:space="0" w:color="auto"/>
            <w:bottom w:val="none" w:sz="0" w:space="0" w:color="auto"/>
            <w:right w:val="none" w:sz="0" w:space="0" w:color="auto"/>
          </w:divBdr>
        </w:div>
      </w:divsChild>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11942915">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2375634">
      <w:bodyDiv w:val="1"/>
      <w:marLeft w:val="0"/>
      <w:marRight w:val="0"/>
      <w:marTop w:val="0"/>
      <w:marBottom w:val="0"/>
      <w:divBdr>
        <w:top w:val="none" w:sz="0" w:space="0" w:color="auto"/>
        <w:left w:val="none" w:sz="0" w:space="0" w:color="auto"/>
        <w:bottom w:val="none" w:sz="0" w:space="0" w:color="auto"/>
        <w:right w:val="none" w:sz="0" w:space="0" w:color="auto"/>
      </w:divBdr>
      <w:divsChild>
        <w:div w:id="1739401894">
          <w:marLeft w:val="1699"/>
          <w:marRight w:val="0"/>
          <w:marTop w:val="120"/>
          <w:marBottom w:val="0"/>
          <w:divBdr>
            <w:top w:val="none" w:sz="0" w:space="0" w:color="auto"/>
            <w:left w:val="none" w:sz="0" w:space="0" w:color="auto"/>
            <w:bottom w:val="none" w:sz="0" w:space="0" w:color="auto"/>
            <w:right w:val="none" w:sz="0" w:space="0" w:color="auto"/>
          </w:divBdr>
        </w:div>
      </w:divsChild>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7784910">
      <w:bodyDiv w:val="1"/>
      <w:marLeft w:val="0"/>
      <w:marRight w:val="0"/>
      <w:marTop w:val="0"/>
      <w:marBottom w:val="0"/>
      <w:divBdr>
        <w:top w:val="none" w:sz="0" w:space="0" w:color="auto"/>
        <w:left w:val="none" w:sz="0" w:space="0" w:color="auto"/>
        <w:bottom w:val="none" w:sz="0" w:space="0" w:color="auto"/>
        <w:right w:val="none" w:sz="0" w:space="0" w:color="auto"/>
      </w:divBdr>
      <w:divsChild>
        <w:div w:id="701706072">
          <w:marLeft w:val="576"/>
          <w:marRight w:val="0"/>
          <w:marTop w:val="20"/>
          <w:marBottom w:val="0"/>
          <w:divBdr>
            <w:top w:val="none" w:sz="0" w:space="0" w:color="auto"/>
            <w:left w:val="none" w:sz="0" w:space="0" w:color="auto"/>
            <w:bottom w:val="none" w:sz="0" w:space="0" w:color="auto"/>
            <w:right w:val="none" w:sz="0" w:space="0" w:color="auto"/>
          </w:divBdr>
        </w:div>
        <w:div w:id="635337336">
          <w:marLeft w:val="1685"/>
          <w:marRight w:val="0"/>
          <w:marTop w:val="20"/>
          <w:marBottom w:val="0"/>
          <w:divBdr>
            <w:top w:val="none" w:sz="0" w:space="0" w:color="auto"/>
            <w:left w:val="none" w:sz="0" w:space="0" w:color="auto"/>
            <w:bottom w:val="none" w:sz="0" w:space="0" w:color="auto"/>
            <w:right w:val="none" w:sz="0" w:space="0" w:color="auto"/>
          </w:divBdr>
        </w:div>
        <w:div w:id="1423180857">
          <w:marLeft w:val="2261"/>
          <w:marRight w:val="0"/>
          <w:marTop w:val="20"/>
          <w:marBottom w:val="0"/>
          <w:divBdr>
            <w:top w:val="none" w:sz="0" w:space="0" w:color="auto"/>
            <w:left w:val="none" w:sz="0" w:space="0" w:color="auto"/>
            <w:bottom w:val="none" w:sz="0" w:space="0" w:color="auto"/>
            <w:right w:val="none" w:sz="0" w:space="0" w:color="auto"/>
          </w:divBdr>
        </w:div>
        <w:div w:id="813909389">
          <w:marLeft w:val="1685"/>
          <w:marRight w:val="0"/>
          <w:marTop w:val="20"/>
          <w:marBottom w:val="0"/>
          <w:divBdr>
            <w:top w:val="none" w:sz="0" w:space="0" w:color="auto"/>
            <w:left w:val="none" w:sz="0" w:space="0" w:color="auto"/>
            <w:bottom w:val="none" w:sz="0" w:space="0" w:color="auto"/>
            <w:right w:val="none" w:sz="0" w:space="0" w:color="auto"/>
          </w:divBdr>
        </w:div>
        <w:div w:id="1148596435">
          <w:marLeft w:val="2261"/>
          <w:marRight w:val="0"/>
          <w:marTop w:val="20"/>
          <w:marBottom w:val="0"/>
          <w:divBdr>
            <w:top w:val="none" w:sz="0" w:space="0" w:color="auto"/>
            <w:left w:val="none" w:sz="0" w:space="0" w:color="auto"/>
            <w:bottom w:val="none" w:sz="0" w:space="0" w:color="auto"/>
            <w:right w:val="none" w:sz="0" w:space="0" w:color="auto"/>
          </w:divBdr>
        </w:div>
        <w:div w:id="1926910796">
          <w:marLeft w:val="2261"/>
          <w:marRight w:val="0"/>
          <w:marTop w:val="20"/>
          <w:marBottom w:val="0"/>
          <w:divBdr>
            <w:top w:val="none" w:sz="0" w:space="0" w:color="auto"/>
            <w:left w:val="none" w:sz="0" w:space="0" w:color="auto"/>
            <w:bottom w:val="none" w:sz="0" w:space="0" w:color="auto"/>
            <w:right w:val="none" w:sz="0" w:space="0" w:color="auto"/>
          </w:divBdr>
        </w:div>
      </w:divsChild>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1924544">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0049278">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372840">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49146131">
      <w:bodyDiv w:val="1"/>
      <w:marLeft w:val="0"/>
      <w:marRight w:val="0"/>
      <w:marTop w:val="0"/>
      <w:marBottom w:val="0"/>
      <w:divBdr>
        <w:top w:val="none" w:sz="0" w:space="0" w:color="auto"/>
        <w:left w:val="none" w:sz="0" w:space="0" w:color="auto"/>
        <w:bottom w:val="none" w:sz="0" w:space="0" w:color="auto"/>
        <w:right w:val="none" w:sz="0" w:space="0" w:color="auto"/>
      </w:divBdr>
    </w:div>
    <w:div w:id="1557474785">
      <w:bodyDiv w:val="1"/>
      <w:marLeft w:val="0"/>
      <w:marRight w:val="0"/>
      <w:marTop w:val="0"/>
      <w:marBottom w:val="0"/>
      <w:divBdr>
        <w:top w:val="none" w:sz="0" w:space="0" w:color="auto"/>
        <w:left w:val="none" w:sz="0" w:space="0" w:color="auto"/>
        <w:bottom w:val="none" w:sz="0" w:space="0" w:color="auto"/>
        <w:right w:val="none" w:sz="0" w:space="0" w:color="auto"/>
      </w:divBdr>
      <w:divsChild>
        <w:div w:id="1764646145">
          <w:marLeft w:val="2261"/>
          <w:marRight w:val="0"/>
          <w:marTop w:val="20"/>
          <w:marBottom w:val="0"/>
          <w:divBdr>
            <w:top w:val="none" w:sz="0" w:space="0" w:color="auto"/>
            <w:left w:val="none" w:sz="0" w:space="0" w:color="auto"/>
            <w:bottom w:val="none" w:sz="0" w:space="0" w:color="auto"/>
            <w:right w:val="none" w:sz="0" w:space="0" w:color="auto"/>
          </w:divBdr>
        </w:div>
        <w:div w:id="1940865124">
          <w:marLeft w:val="2261"/>
          <w:marRight w:val="0"/>
          <w:marTop w:val="20"/>
          <w:marBottom w:val="0"/>
          <w:divBdr>
            <w:top w:val="none" w:sz="0" w:space="0" w:color="auto"/>
            <w:left w:val="none" w:sz="0" w:space="0" w:color="auto"/>
            <w:bottom w:val="none" w:sz="0" w:space="0" w:color="auto"/>
            <w:right w:val="none" w:sz="0" w:space="0" w:color="auto"/>
          </w:divBdr>
        </w:div>
      </w:divsChild>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42755929">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1873372828">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65429671">
      <w:bodyDiv w:val="1"/>
      <w:marLeft w:val="0"/>
      <w:marRight w:val="0"/>
      <w:marTop w:val="0"/>
      <w:marBottom w:val="0"/>
      <w:divBdr>
        <w:top w:val="none" w:sz="0" w:space="0" w:color="auto"/>
        <w:left w:val="none" w:sz="0" w:space="0" w:color="auto"/>
        <w:bottom w:val="none" w:sz="0" w:space="0" w:color="auto"/>
        <w:right w:val="none" w:sz="0" w:space="0" w:color="auto"/>
      </w:divBdr>
      <w:divsChild>
        <w:div w:id="821581760">
          <w:marLeft w:val="432"/>
          <w:marRight w:val="0"/>
          <w:marTop w:val="20"/>
          <w:marBottom w:val="0"/>
          <w:divBdr>
            <w:top w:val="none" w:sz="0" w:space="0" w:color="auto"/>
            <w:left w:val="none" w:sz="0" w:space="0" w:color="auto"/>
            <w:bottom w:val="none" w:sz="0" w:space="0" w:color="auto"/>
            <w:right w:val="none" w:sz="0" w:space="0" w:color="auto"/>
          </w:divBdr>
        </w:div>
      </w:divsChild>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1993754183">
      <w:bodyDiv w:val="1"/>
      <w:marLeft w:val="0"/>
      <w:marRight w:val="0"/>
      <w:marTop w:val="0"/>
      <w:marBottom w:val="0"/>
      <w:divBdr>
        <w:top w:val="none" w:sz="0" w:space="0" w:color="auto"/>
        <w:left w:val="none" w:sz="0" w:space="0" w:color="auto"/>
        <w:bottom w:val="none" w:sz="0" w:space="0" w:color="auto"/>
        <w:right w:val="none" w:sz="0" w:space="0" w:color="auto"/>
      </w:divBdr>
      <w:divsChild>
        <w:div w:id="1218323835">
          <w:marLeft w:val="432"/>
          <w:marRight w:val="0"/>
          <w:marTop w:val="2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79740105">
      <w:bodyDiv w:val="1"/>
      <w:marLeft w:val="0"/>
      <w:marRight w:val="0"/>
      <w:marTop w:val="0"/>
      <w:marBottom w:val="0"/>
      <w:divBdr>
        <w:top w:val="none" w:sz="0" w:space="0" w:color="auto"/>
        <w:left w:val="none" w:sz="0" w:space="0" w:color="auto"/>
        <w:bottom w:val="none" w:sz="0" w:space="0" w:color="auto"/>
        <w:right w:val="none" w:sz="0" w:space="0" w:color="auto"/>
      </w:divBdr>
      <w:divsChild>
        <w:div w:id="190191953">
          <w:marLeft w:val="432"/>
          <w:marRight w:val="0"/>
          <w:marTop w:val="20"/>
          <w:marBottom w:val="0"/>
          <w:divBdr>
            <w:top w:val="none" w:sz="0" w:space="0" w:color="auto"/>
            <w:left w:val="none" w:sz="0" w:space="0" w:color="auto"/>
            <w:bottom w:val="none" w:sz="0" w:space="0" w:color="auto"/>
            <w:right w:val="none" w:sz="0" w:space="0" w:color="auto"/>
          </w:divBdr>
        </w:div>
        <w:div w:id="2047757400">
          <w:marLeft w:val="1267"/>
          <w:marRight w:val="0"/>
          <w:marTop w:val="20"/>
          <w:marBottom w:val="0"/>
          <w:divBdr>
            <w:top w:val="none" w:sz="0" w:space="0" w:color="auto"/>
            <w:left w:val="none" w:sz="0" w:space="0" w:color="auto"/>
            <w:bottom w:val="none" w:sz="0" w:space="0" w:color="auto"/>
            <w:right w:val="none" w:sz="0" w:space="0" w:color="auto"/>
          </w:divBdr>
        </w:div>
        <w:div w:id="456721770">
          <w:marLeft w:val="1699"/>
          <w:marRight w:val="0"/>
          <w:marTop w:val="20"/>
          <w:marBottom w:val="0"/>
          <w:divBdr>
            <w:top w:val="none" w:sz="0" w:space="0" w:color="auto"/>
            <w:left w:val="none" w:sz="0" w:space="0" w:color="auto"/>
            <w:bottom w:val="none" w:sz="0" w:space="0" w:color="auto"/>
            <w:right w:val="none" w:sz="0" w:space="0" w:color="auto"/>
          </w:divBdr>
        </w:div>
        <w:div w:id="490173997">
          <w:marLeft w:val="1987"/>
          <w:marRight w:val="0"/>
          <w:marTop w:val="20"/>
          <w:marBottom w:val="0"/>
          <w:divBdr>
            <w:top w:val="none" w:sz="0" w:space="0" w:color="auto"/>
            <w:left w:val="none" w:sz="0" w:space="0" w:color="auto"/>
            <w:bottom w:val="none" w:sz="0" w:space="0" w:color="auto"/>
            <w:right w:val="none" w:sz="0" w:space="0" w:color="auto"/>
          </w:divBdr>
        </w:div>
        <w:div w:id="615405450">
          <w:marLeft w:val="1987"/>
          <w:marRight w:val="0"/>
          <w:marTop w:val="20"/>
          <w:marBottom w:val="0"/>
          <w:divBdr>
            <w:top w:val="none" w:sz="0" w:space="0" w:color="auto"/>
            <w:left w:val="none" w:sz="0" w:space="0" w:color="auto"/>
            <w:bottom w:val="none" w:sz="0" w:space="0" w:color="auto"/>
            <w:right w:val="none" w:sz="0" w:space="0" w:color="auto"/>
          </w:divBdr>
        </w:div>
        <w:div w:id="1916086455">
          <w:marLeft w:val="1267"/>
          <w:marRight w:val="0"/>
          <w:marTop w:val="20"/>
          <w:marBottom w:val="0"/>
          <w:divBdr>
            <w:top w:val="none" w:sz="0" w:space="0" w:color="auto"/>
            <w:left w:val="none" w:sz="0" w:space="0" w:color="auto"/>
            <w:bottom w:val="none" w:sz="0" w:space="0" w:color="auto"/>
            <w:right w:val="none" w:sz="0" w:space="0" w:color="auto"/>
          </w:divBdr>
        </w:div>
        <w:div w:id="2003578592">
          <w:marLeft w:val="1699"/>
          <w:marRight w:val="0"/>
          <w:marTop w:val="20"/>
          <w:marBottom w:val="0"/>
          <w:divBdr>
            <w:top w:val="none" w:sz="0" w:space="0" w:color="auto"/>
            <w:left w:val="none" w:sz="0" w:space="0" w:color="auto"/>
            <w:bottom w:val="none" w:sz="0" w:space="0" w:color="auto"/>
            <w:right w:val="none" w:sz="0" w:space="0" w:color="auto"/>
          </w:divBdr>
        </w:div>
        <w:div w:id="434136087">
          <w:marLeft w:val="1987"/>
          <w:marRight w:val="0"/>
          <w:marTop w:val="20"/>
          <w:marBottom w:val="0"/>
          <w:divBdr>
            <w:top w:val="none" w:sz="0" w:space="0" w:color="auto"/>
            <w:left w:val="none" w:sz="0" w:space="0" w:color="auto"/>
            <w:bottom w:val="none" w:sz="0" w:space="0" w:color="auto"/>
            <w:right w:val="none" w:sz="0" w:space="0" w:color="auto"/>
          </w:divBdr>
        </w:div>
        <w:div w:id="1063795555">
          <w:marLeft w:val="1699"/>
          <w:marRight w:val="0"/>
          <w:marTop w:val="20"/>
          <w:marBottom w:val="0"/>
          <w:divBdr>
            <w:top w:val="none" w:sz="0" w:space="0" w:color="auto"/>
            <w:left w:val="none" w:sz="0" w:space="0" w:color="auto"/>
            <w:bottom w:val="none" w:sz="0" w:space="0" w:color="auto"/>
            <w:right w:val="none" w:sz="0" w:space="0" w:color="auto"/>
          </w:divBdr>
        </w:div>
        <w:div w:id="1919319952">
          <w:marLeft w:val="1267"/>
          <w:marRight w:val="0"/>
          <w:marTop w:val="20"/>
          <w:marBottom w:val="0"/>
          <w:divBdr>
            <w:top w:val="none" w:sz="0" w:space="0" w:color="auto"/>
            <w:left w:val="none" w:sz="0" w:space="0" w:color="auto"/>
            <w:bottom w:val="none" w:sz="0" w:space="0" w:color="auto"/>
            <w:right w:val="none" w:sz="0" w:space="0" w:color="auto"/>
          </w:divBdr>
        </w:div>
        <w:div w:id="1779984816">
          <w:marLeft w:val="1267"/>
          <w:marRight w:val="0"/>
          <w:marTop w:val="20"/>
          <w:marBottom w:val="0"/>
          <w:divBdr>
            <w:top w:val="none" w:sz="0" w:space="0" w:color="auto"/>
            <w:left w:val="none" w:sz="0" w:space="0" w:color="auto"/>
            <w:bottom w:val="none" w:sz="0" w:space="0" w:color="auto"/>
            <w:right w:val="none" w:sz="0" w:space="0" w:color="auto"/>
          </w:divBdr>
        </w:div>
        <w:div w:id="1892380620">
          <w:marLeft w:val="1267"/>
          <w:marRight w:val="0"/>
          <w:marTop w:val="20"/>
          <w:marBottom w:val="0"/>
          <w:divBdr>
            <w:top w:val="none" w:sz="0" w:space="0" w:color="auto"/>
            <w:left w:val="none" w:sz="0" w:space="0" w:color="auto"/>
            <w:bottom w:val="none" w:sz="0" w:space="0" w:color="auto"/>
            <w:right w:val="none" w:sz="0" w:space="0" w:color="auto"/>
          </w:divBdr>
        </w:div>
      </w:divsChild>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255CE-55E4-4D0E-B6D5-0B05B14B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customXml/itemProps3.xml><?xml version="1.0" encoding="utf-8"?>
<ds:datastoreItem xmlns:ds="http://schemas.openxmlformats.org/officeDocument/2006/customXml" ds:itemID="{D92B6A46-8FF5-48FE-9AB2-216593ACAE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FEB9A-37B5-4295-8D64-1520BF59F7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2023-05-15T08:28:00Z</dcterms:created>
  <dcterms:modified xsi:type="dcterms:W3CDTF">2023-05-15T08:28:00Z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2022-11-04T04:52:01Z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ba859b61-0f3c-4a53-b850-6cf05053bb24</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